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2C222" w14:textId="77777777" w:rsidR="00CB2805" w:rsidRDefault="00000000">
      <w:pPr>
        <w:ind w:left="0" w:hanging="2"/>
        <w:rPr>
          <w:sz w:val="23"/>
          <w:szCs w:val="23"/>
        </w:rPr>
      </w:pPr>
      <w:r>
        <w:rPr>
          <w:noProof/>
        </w:rPr>
        <w:drawing>
          <wp:anchor distT="0" distB="0" distL="114300" distR="114300" simplePos="0" relativeHeight="251658240" behindDoc="0" locked="0" layoutInCell="1" hidden="0" allowOverlap="1" wp14:anchorId="15D70EF1" wp14:editId="7664F629">
            <wp:simplePos x="0" y="0"/>
            <wp:positionH relativeFrom="column">
              <wp:posOffset>7658100</wp:posOffset>
            </wp:positionH>
            <wp:positionV relativeFrom="paragraph">
              <wp:posOffset>-495299</wp:posOffset>
            </wp:positionV>
            <wp:extent cx="850900" cy="8382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50900" cy="8382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A446F18" wp14:editId="4E66AA49">
            <wp:simplePos x="0" y="0"/>
            <wp:positionH relativeFrom="column">
              <wp:posOffset>1</wp:posOffset>
            </wp:positionH>
            <wp:positionV relativeFrom="paragraph">
              <wp:posOffset>-571499</wp:posOffset>
            </wp:positionV>
            <wp:extent cx="509905" cy="80010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09905" cy="800100"/>
                    </a:xfrm>
                    <a:prstGeom prst="rect">
                      <a:avLst/>
                    </a:prstGeom>
                    <a:ln/>
                  </pic:spPr>
                </pic:pic>
              </a:graphicData>
            </a:graphic>
          </wp:anchor>
        </w:drawing>
      </w:r>
    </w:p>
    <w:p w14:paraId="264E709D" w14:textId="77777777" w:rsidR="00CB2805" w:rsidRDefault="00CB2805">
      <w:pPr>
        <w:ind w:left="0" w:hanging="2"/>
        <w:rPr>
          <w:sz w:val="23"/>
          <w:szCs w:val="23"/>
        </w:rPr>
      </w:pPr>
    </w:p>
    <w:p w14:paraId="2A42FDD8" w14:textId="77777777" w:rsidR="00CB2805" w:rsidRDefault="00000000">
      <w:pPr>
        <w:ind w:left="0" w:hanging="2"/>
        <w:rPr>
          <w:sz w:val="23"/>
          <w:szCs w:val="23"/>
        </w:rPr>
      </w:pPr>
      <w:r>
        <w:rPr>
          <w:noProof/>
        </w:rPr>
        <mc:AlternateContent>
          <mc:Choice Requires="wpg">
            <w:drawing>
              <wp:anchor distT="0" distB="0" distL="114300" distR="114300" simplePos="0" relativeHeight="251660288" behindDoc="0" locked="0" layoutInCell="1" hidden="0" allowOverlap="1" wp14:anchorId="539F7FB2" wp14:editId="28F2ACF4">
                <wp:simplePos x="0" y="0"/>
                <wp:positionH relativeFrom="column">
                  <wp:posOffset>1130300</wp:posOffset>
                </wp:positionH>
                <wp:positionV relativeFrom="paragraph">
                  <wp:posOffset>-800099</wp:posOffset>
                </wp:positionV>
                <wp:extent cx="5724525" cy="923925"/>
                <wp:effectExtent l="0" t="0" r="0" b="0"/>
                <wp:wrapNone/>
                <wp:docPr id="1" name="Rectangle 1"/>
                <wp:cNvGraphicFramePr/>
                <a:graphic xmlns:a="http://schemas.openxmlformats.org/drawingml/2006/main">
                  <a:graphicData uri="http://schemas.microsoft.com/office/word/2010/wordprocessingShape">
                    <wps:wsp>
                      <wps:cNvSpPr/>
                      <wps:spPr>
                        <a:xfrm>
                          <a:off x="2488500" y="3322800"/>
                          <a:ext cx="5715000" cy="914400"/>
                        </a:xfrm>
                        <a:prstGeom prst="rect">
                          <a:avLst/>
                        </a:prstGeom>
                        <a:solidFill>
                          <a:srgbClr val="FFFFFF"/>
                        </a:solidFill>
                        <a:ln>
                          <a:noFill/>
                        </a:ln>
                      </wps:spPr>
                      <wps:txbx>
                        <w:txbxContent>
                          <w:p w14:paraId="1060BC74" w14:textId="77777777" w:rsidR="00CB2805" w:rsidRDefault="00000000">
                            <w:pPr>
                              <w:spacing w:line="240" w:lineRule="auto"/>
                              <w:ind w:left="2" w:hanging="4"/>
                              <w:jc w:val="center"/>
                            </w:pPr>
                            <w:r>
                              <w:rPr>
                                <w:rFonts w:ascii="Arial" w:eastAsia="Arial" w:hAnsi="Arial" w:cs="Arial"/>
                                <w:b/>
                                <w:color w:val="000000"/>
                                <w:sz w:val="35"/>
                              </w:rPr>
                              <w:t>Growing Culinary Herbs in Santa Clara County</w:t>
                            </w:r>
                          </w:p>
                          <w:p w14:paraId="6A2A5686" w14:textId="77777777" w:rsidR="00CB2805" w:rsidRDefault="00CB2805">
                            <w:pPr>
                              <w:spacing w:line="240" w:lineRule="auto"/>
                              <w:ind w:left="0" w:hanging="2"/>
                              <w:jc w:val="center"/>
                            </w:pPr>
                          </w:p>
                          <w:p w14:paraId="75464F35" w14:textId="77777777" w:rsidR="00CB2805" w:rsidRDefault="00000000">
                            <w:pPr>
                              <w:spacing w:line="240" w:lineRule="auto"/>
                              <w:ind w:left="0" w:hanging="2"/>
                              <w:jc w:val="center"/>
                            </w:pPr>
                            <w:r>
                              <w:rPr>
                                <w:rFonts w:ascii="Arial" w:eastAsia="Arial" w:hAnsi="Arial" w:cs="Arial"/>
                                <w:color w:val="000000"/>
                                <w:sz w:val="23"/>
                              </w:rPr>
                              <w:t>UC Cooperative Extension Master Gardeners of Santa Clara County</w:t>
                            </w:r>
                          </w:p>
                          <w:p w14:paraId="2559A01D" w14:textId="77777777" w:rsidR="00CB2805" w:rsidRDefault="00CB280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1130300</wp:posOffset>
                </wp:positionH>
                <wp:positionV relativeFrom="paragraph">
                  <wp:posOffset>-800099</wp:posOffset>
                </wp:positionV>
                <wp:extent cx="5724525" cy="923925"/>
                <wp:effectExtent b="0" l="0" r="0" t="0"/>
                <wp:wrapNone/>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724525" cy="923925"/>
                        </a:xfrm>
                        <a:prstGeom prst="rect"/>
                        <a:ln/>
                      </pic:spPr>
                    </pic:pic>
                  </a:graphicData>
                </a:graphic>
              </wp:anchor>
            </w:drawing>
          </mc:Fallback>
        </mc:AlternateContent>
      </w:r>
    </w:p>
    <w:p w14:paraId="671113E5" w14:textId="77777777" w:rsidR="00CB2805" w:rsidRDefault="00000000">
      <w:pPr>
        <w:numPr>
          <w:ilvl w:val="0"/>
          <w:numId w:val="1"/>
        </w:numPr>
        <w:ind w:left="0" w:right="-180" w:hanging="2"/>
        <w:rPr>
          <w:rFonts w:ascii="Arial" w:eastAsia="Arial" w:hAnsi="Arial" w:cs="Arial"/>
          <w:sz w:val="23"/>
          <w:szCs w:val="23"/>
        </w:rPr>
      </w:pPr>
      <w:r>
        <w:rPr>
          <w:rFonts w:ascii="Arial" w:eastAsia="Arial" w:hAnsi="Arial" w:cs="Arial"/>
          <w:b/>
          <w:sz w:val="23"/>
          <w:szCs w:val="23"/>
        </w:rPr>
        <w:t>A culinary herb is a leaf of a plant that is used for seasoning</w:t>
      </w:r>
    </w:p>
    <w:p w14:paraId="15351C86" w14:textId="77777777" w:rsidR="00CB2805" w:rsidRDefault="00CB2805">
      <w:pPr>
        <w:ind w:left="0" w:right="-180" w:hanging="2"/>
        <w:rPr>
          <w:rFonts w:ascii="Arial" w:eastAsia="Arial" w:hAnsi="Arial" w:cs="Arial"/>
          <w:sz w:val="23"/>
          <w:szCs w:val="23"/>
        </w:rPr>
      </w:pPr>
    </w:p>
    <w:p w14:paraId="3193FC79" w14:textId="77777777" w:rsidR="00CB2805" w:rsidRDefault="00000000">
      <w:pPr>
        <w:numPr>
          <w:ilvl w:val="0"/>
          <w:numId w:val="1"/>
        </w:numPr>
        <w:ind w:left="0" w:right="-180" w:hanging="2"/>
        <w:rPr>
          <w:rFonts w:ascii="Arial" w:eastAsia="Arial" w:hAnsi="Arial" w:cs="Arial"/>
          <w:sz w:val="23"/>
          <w:szCs w:val="23"/>
        </w:rPr>
      </w:pPr>
      <w:r>
        <w:rPr>
          <w:rFonts w:ascii="Arial" w:eastAsia="Arial" w:hAnsi="Arial" w:cs="Arial"/>
          <w:b/>
          <w:sz w:val="23"/>
          <w:szCs w:val="23"/>
        </w:rPr>
        <w:t>Annual herbs, like annual vegetables, can be divided into cool season and warm season plants. Grow these plants as you would leafy vegetables.</w:t>
      </w:r>
    </w:p>
    <w:p w14:paraId="154985DA" w14:textId="77777777" w:rsidR="00CB2805" w:rsidRDefault="00CB2805">
      <w:pPr>
        <w:ind w:left="0" w:right="-180" w:hanging="2"/>
        <w:rPr>
          <w:rFonts w:ascii="Arial" w:eastAsia="Arial" w:hAnsi="Arial" w:cs="Arial"/>
          <w:sz w:val="23"/>
          <w:szCs w:val="23"/>
        </w:rPr>
      </w:pPr>
    </w:p>
    <w:p w14:paraId="40A0B225" w14:textId="77777777" w:rsidR="00CB2805" w:rsidRDefault="00000000">
      <w:pPr>
        <w:numPr>
          <w:ilvl w:val="0"/>
          <w:numId w:val="1"/>
        </w:numPr>
        <w:ind w:left="0" w:right="-180" w:hanging="2"/>
        <w:rPr>
          <w:rFonts w:ascii="Arial" w:eastAsia="Arial" w:hAnsi="Arial" w:cs="Arial"/>
          <w:sz w:val="23"/>
          <w:szCs w:val="23"/>
        </w:rPr>
      </w:pPr>
      <w:r>
        <w:rPr>
          <w:rFonts w:ascii="Arial" w:eastAsia="Arial" w:hAnsi="Arial" w:cs="Arial"/>
          <w:b/>
          <w:sz w:val="23"/>
          <w:szCs w:val="23"/>
        </w:rPr>
        <w:t xml:space="preserve">Many perennial herbs that thrive in our climate need the same care as sun loving, low water use ornamentals. Good drainage is essential; most make excellent container plants. These plants generally have woody stems. </w:t>
      </w:r>
    </w:p>
    <w:p w14:paraId="6FDF06E3" w14:textId="77777777" w:rsidR="00CB2805" w:rsidRDefault="00CB2805">
      <w:pPr>
        <w:ind w:left="0" w:right="-180" w:hanging="2"/>
        <w:rPr>
          <w:rFonts w:ascii="Arial" w:eastAsia="Arial" w:hAnsi="Arial" w:cs="Arial"/>
          <w:sz w:val="23"/>
          <w:szCs w:val="23"/>
        </w:rPr>
      </w:pPr>
    </w:p>
    <w:p w14:paraId="5A181D50" w14:textId="77777777" w:rsidR="00CB2805" w:rsidRDefault="00000000">
      <w:pPr>
        <w:numPr>
          <w:ilvl w:val="0"/>
          <w:numId w:val="1"/>
        </w:numPr>
        <w:ind w:left="0" w:right="-180" w:hanging="2"/>
        <w:rPr>
          <w:rFonts w:ascii="Arial" w:eastAsia="Arial" w:hAnsi="Arial" w:cs="Arial"/>
          <w:sz w:val="23"/>
          <w:szCs w:val="23"/>
        </w:rPr>
      </w:pPr>
      <w:r>
        <w:rPr>
          <w:rFonts w:ascii="Arial" w:eastAsia="Arial" w:hAnsi="Arial" w:cs="Arial"/>
          <w:b/>
          <w:sz w:val="23"/>
          <w:szCs w:val="23"/>
        </w:rPr>
        <w:t xml:space="preserve">Some perennial herbs die back in the winter even when there is no freeze; they send up new shoots in late winter. These perennial herbs are “herbaceous”; they lack persistent woody parts. They generally need more water and richer soil than woody perennial herbs. Many do well in partial shade.  </w:t>
      </w:r>
    </w:p>
    <w:p w14:paraId="6A2960CC" w14:textId="77777777" w:rsidR="00CB2805" w:rsidRDefault="00CB2805">
      <w:pPr>
        <w:ind w:left="0" w:hanging="2"/>
        <w:rPr>
          <w:sz w:val="23"/>
          <w:szCs w:val="23"/>
        </w:rPr>
      </w:pPr>
    </w:p>
    <w:tbl>
      <w:tblPr>
        <w:tblStyle w:val="a"/>
        <w:tblW w:w="14180" w:type="dxa"/>
        <w:tblInd w:w="-540" w:type="dxa"/>
        <w:tblLayout w:type="fixed"/>
        <w:tblLook w:val="0000" w:firstRow="0" w:lastRow="0" w:firstColumn="0" w:lastColumn="0" w:noHBand="0" w:noVBand="0"/>
      </w:tblPr>
      <w:tblGrid>
        <w:gridCol w:w="1260"/>
        <w:gridCol w:w="991"/>
        <w:gridCol w:w="980"/>
        <w:gridCol w:w="959"/>
        <w:gridCol w:w="980"/>
        <w:gridCol w:w="1199"/>
        <w:gridCol w:w="1456"/>
        <w:gridCol w:w="6355"/>
      </w:tblGrid>
      <w:tr w:rsidR="00CB2805" w14:paraId="3EBDE62D" w14:textId="77777777">
        <w:trPr>
          <w:trHeight w:val="720"/>
        </w:trPr>
        <w:tc>
          <w:tcPr>
            <w:tcW w:w="1260" w:type="dxa"/>
            <w:tcBorders>
              <w:top w:val="single" w:sz="8" w:space="0" w:color="000000"/>
              <w:left w:val="single" w:sz="8" w:space="0" w:color="000000"/>
              <w:bottom w:val="single" w:sz="4" w:space="0" w:color="000000"/>
              <w:right w:val="nil"/>
            </w:tcBorders>
            <w:vAlign w:val="center"/>
          </w:tcPr>
          <w:p w14:paraId="5073710A" w14:textId="77777777" w:rsidR="00CB2805" w:rsidRDefault="00000000">
            <w:pPr>
              <w:ind w:left="0" w:hanging="2"/>
              <w:jc w:val="center"/>
              <w:rPr>
                <w:rFonts w:ascii="Arial" w:eastAsia="Arial" w:hAnsi="Arial" w:cs="Arial"/>
                <w:sz w:val="17"/>
                <w:szCs w:val="17"/>
              </w:rPr>
            </w:pPr>
            <w:r>
              <w:rPr>
                <w:rFonts w:ascii="Arial" w:eastAsia="Arial" w:hAnsi="Arial" w:cs="Arial"/>
                <w:b/>
                <w:sz w:val="17"/>
                <w:szCs w:val="17"/>
              </w:rPr>
              <w:t>Herb</w:t>
            </w:r>
          </w:p>
        </w:tc>
        <w:tc>
          <w:tcPr>
            <w:tcW w:w="991" w:type="dxa"/>
            <w:tcBorders>
              <w:top w:val="single" w:sz="8" w:space="0" w:color="000000"/>
              <w:left w:val="nil"/>
              <w:bottom w:val="single" w:sz="4" w:space="0" w:color="000000"/>
              <w:right w:val="nil"/>
            </w:tcBorders>
            <w:vAlign w:val="center"/>
          </w:tcPr>
          <w:p w14:paraId="77C45AEE" w14:textId="77777777" w:rsidR="00CB2805" w:rsidRDefault="00000000">
            <w:pPr>
              <w:ind w:left="0" w:hanging="2"/>
              <w:jc w:val="center"/>
              <w:rPr>
                <w:rFonts w:ascii="Arial" w:eastAsia="Arial" w:hAnsi="Arial" w:cs="Arial"/>
                <w:sz w:val="17"/>
                <w:szCs w:val="17"/>
              </w:rPr>
            </w:pPr>
            <w:r>
              <w:rPr>
                <w:rFonts w:ascii="Arial" w:eastAsia="Arial" w:hAnsi="Arial" w:cs="Arial"/>
                <w:b/>
                <w:sz w:val="17"/>
                <w:szCs w:val="17"/>
              </w:rPr>
              <w:t>Life cycle</w:t>
            </w:r>
          </w:p>
        </w:tc>
        <w:tc>
          <w:tcPr>
            <w:tcW w:w="980" w:type="dxa"/>
            <w:tcBorders>
              <w:top w:val="single" w:sz="8" w:space="0" w:color="000000"/>
              <w:left w:val="nil"/>
              <w:bottom w:val="single" w:sz="4" w:space="0" w:color="000000"/>
              <w:right w:val="nil"/>
            </w:tcBorders>
            <w:vAlign w:val="center"/>
          </w:tcPr>
          <w:p w14:paraId="42E1558C" w14:textId="77777777" w:rsidR="00CB2805" w:rsidRDefault="00000000">
            <w:pPr>
              <w:ind w:left="0" w:hanging="2"/>
              <w:jc w:val="center"/>
              <w:rPr>
                <w:rFonts w:ascii="Arial" w:eastAsia="Arial" w:hAnsi="Arial" w:cs="Arial"/>
                <w:sz w:val="17"/>
                <w:szCs w:val="17"/>
              </w:rPr>
            </w:pPr>
            <w:r>
              <w:rPr>
                <w:rFonts w:ascii="Arial" w:eastAsia="Arial" w:hAnsi="Arial" w:cs="Arial"/>
                <w:b/>
                <w:sz w:val="17"/>
                <w:szCs w:val="17"/>
              </w:rPr>
              <w:t>Water needs</w:t>
            </w:r>
          </w:p>
        </w:tc>
        <w:tc>
          <w:tcPr>
            <w:tcW w:w="959" w:type="dxa"/>
            <w:tcBorders>
              <w:top w:val="single" w:sz="8" w:space="0" w:color="000000"/>
              <w:left w:val="nil"/>
              <w:bottom w:val="single" w:sz="4" w:space="0" w:color="000000"/>
              <w:right w:val="nil"/>
            </w:tcBorders>
            <w:vAlign w:val="center"/>
          </w:tcPr>
          <w:p w14:paraId="599BA3B7" w14:textId="77777777" w:rsidR="00CB2805" w:rsidRDefault="00000000">
            <w:pPr>
              <w:ind w:left="0" w:hanging="2"/>
              <w:jc w:val="center"/>
              <w:rPr>
                <w:rFonts w:ascii="Arial" w:eastAsia="Arial" w:hAnsi="Arial" w:cs="Arial"/>
                <w:sz w:val="17"/>
                <w:szCs w:val="17"/>
              </w:rPr>
            </w:pPr>
            <w:r>
              <w:rPr>
                <w:rFonts w:ascii="Arial" w:eastAsia="Arial" w:hAnsi="Arial" w:cs="Arial"/>
                <w:b/>
                <w:sz w:val="17"/>
                <w:szCs w:val="17"/>
              </w:rPr>
              <w:t>Sun needs</w:t>
            </w:r>
          </w:p>
        </w:tc>
        <w:tc>
          <w:tcPr>
            <w:tcW w:w="980" w:type="dxa"/>
            <w:tcBorders>
              <w:top w:val="single" w:sz="8" w:space="0" w:color="000000"/>
              <w:left w:val="nil"/>
              <w:bottom w:val="single" w:sz="4" w:space="0" w:color="000000"/>
              <w:right w:val="nil"/>
            </w:tcBorders>
            <w:vAlign w:val="center"/>
          </w:tcPr>
          <w:p w14:paraId="42E484BD" w14:textId="77777777" w:rsidR="00CB2805" w:rsidRDefault="00000000">
            <w:pPr>
              <w:ind w:left="0" w:hanging="2"/>
              <w:jc w:val="center"/>
              <w:rPr>
                <w:rFonts w:ascii="Arial" w:eastAsia="Arial" w:hAnsi="Arial" w:cs="Arial"/>
                <w:sz w:val="17"/>
                <w:szCs w:val="17"/>
              </w:rPr>
            </w:pPr>
            <w:r>
              <w:rPr>
                <w:rFonts w:ascii="Arial" w:eastAsia="Arial" w:hAnsi="Arial" w:cs="Arial"/>
                <w:b/>
                <w:sz w:val="17"/>
                <w:szCs w:val="17"/>
              </w:rPr>
              <w:t>Height mature plant</w:t>
            </w:r>
          </w:p>
        </w:tc>
        <w:tc>
          <w:tcPr>
            <w:tcW w:w="1199" w:type="dxa"/>
            <w:tcBorders>
              <w:top w:val="single" w:sz="8" w:space="0" w:color="000000"/>
              <w:left w:val="nil"/>
              <w:bottom w:val="single" w:sz="4" w:space="0" w:color="000000"/>
              <w:right w:val="nil"/>
            </w:tcBorders>
            <w:vAlign w:val="center"/>
          </w:tcPr>
          <w:p w14:paraId="53C517A8" w14:textId="77777777" w:rsidR="00CB2805" w:rsidRDefault="00000000">
            <w:pPr>
              <w:ind w:left="0" w:hanging="2"/>
              <w:jc w:val="center"/>
              <w:rPr>
                <w:rFonts w:ascii="Arial" w:eastAsia="Arial" w:hAnsi="Arial" w:cs="Arial"/>
                <w:sz w:val="17"/>
                <w:szCs w:val="17"/>
              </w:rPr>
            </w:pPr>
            <w:r>
              <w:rPr>
                <w:rFonts w:ascii="Arial" w:eastAsia="Arial" w:hAnsi="Arial" w:cs="Arial"/>
                <w:b/>
                <w:sz w:val="17"/>
                <w:szCs w:val="17"/>
              </w:rPr>
              <w:t>Spacing between plants</w:t>
            </w:r>
          </w:p>
        </w:tc>
        <w:tc>
          <w:tcPr>
            <w:tcW w:w="1456" w:type="dxa"/>
            <w:tcBorders>
              <w:top w:val="single" w:sz="8" w:space="0" w:color="000000"/>
              <w:left w:val="nil"/>
              <w:bottom w:val="single" w:sz="4" w:space="0" w:color="000000"/>
              <w:right w:val="nil"/>
            </w:tcBorders>
            <w:vAlign w:val="center"/>
          </w:tcPr>
          <w:p w14:paraId="4B296F6F" w14:textId="77777777" w:rsidR="00CB2805" w:rsidRDefault="00000000">
            <w:pPr>
              <w:ind w:left="0" w:hanging="2"/>
              <w:jc w:val="center"/>
              <w:rPr>
                <w:rFonts w:ascii="Arial" w:eastAsia="Arial" w:hAnsi="Arial" w:cs="Arial"/>
                <w:sz w:val="17"/>
                <w:szCs w:val="17"/>
              </w:rPr>
            </w:pPr>
            <w:r>
              <w:rPr>
                <w:rFonts w:ascii="Arial" w:eastAsia="Arial" w:hAnsi="Arial" w:cs="Arial"/>
                <w:b/>
                <w:sz w:val="17"/>
                <w:szCs w:val="17"/>
              </w:rPr>
              <w:t>How to plant</w:t>
            </w:r>
          </w:p>
        </w:tc>
        <w:tc>
          <w:tcPr>
            <w:tcW w:w="6355" w:type="dxa"/>
            <w:tcBorders>
              <w:top w:val="single" w:sz="8" w:space="0" w:color="000000"/>
              <w:left w:val="nil"/>
              <w:bottom w:val="single" w:sz="4" w:space="0" w:color="000000"/>
              <w:right w:val="single" w:sz="8" w:space="0" w:color="000000"/>
            </w:tcBorders>
            <w:vAlign w:val="center"/>
          </w:tcPr>
          <w:p w14:paraId="0FA4C247" w14:textId="77777777" w:rsidR="00CB2805" w:rsidRDefault="00000000">
            <w:pPr>
              <w:ind w:left="0" w:hanging="2"/>
              <w:jc w:val="center"/>
              <w:rPr>
                <w:rFonts w:ascii="Arial" w:eastAsia="Arial" w:hAnsi="Arial" w:cs="Arial"/>
                <w:sz w:val="17"/>
                <w:szCs w:val="17"/>
              </w:rPr>
            </w:pPr>
            <w:r>
              <w:rPr>
                <w:rFonts w:ascii="Arial" w:eastAsia="Arial" w:hAnsi="Arial" w:cs="Arial"/>
                <w:b/>
                <w:sz w:val="17"/>
                <w:szCs w:val="17"/>
              </w:rPr>
              <w:t>Comments</w:t>
            </w:r>
          </w:p>
        </w:tc>
      </w:tr>
      <w:tr w:rsidR="00CB2805" w14:paraId="6BC3CC4D" w14:textId="77777777">
        <w:trPr>
          <w:trHeight w:val="912"/>
        </w:trPr>
        <w:tc>
          <w:tcPr>
            <w:tcW w:w="1260" w:type="dxa"/>
            <w:tcBorders>
              <w:top w:val="nil"/>
              <w:left w:val="single" w:sz="8" w:space="0" w:color="000000"/>
              <w:bottom w:val="single" w:sz="4" w:space="0" w:color="000000"/>
              <w:right w:val="nil"/>
            </w:tcBorders>
            <w:vAlign w:val="center"/>
          </w:tcPr>
          <w:p w14:paraId="163411A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Basil, Sweet</w:t>
            </w:r>
          </w:p>
        </w:tc>
        <w:tc>
          <w:tcPr>
            <w:tcW w:w="991" w:type="dxa"/>
            <w:tcBorders>
              <w:top w:val="nil"/>
              <w:left w:val="nil"/>
              <w:bottom w:val="single" w:sz="4" w:space="0" w:color="000000"/>
              <w:right w:val="nil"/>
            </w:tcBorders>
            <w:vAlign w:val="center"/>
          </w:tcPr>
          <w:p w14:paraId="6696348B"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Annual</w:t>
            </w:r>
          </w:p>
        </w:tc>
        <w:tc>
          <w:tcPr>
            <w:tcW w:w="980" w:type="dxa"/>
            <w:tcBorders>
              <w:top w:val="nil"/>
              <w:left w:val="nil"/>
              <w:bottom w:val="single" w:sz="4" w:space="0" w:color="000000"/>
              <w:right w:val="nil"/>
            </w:tcBorders>
            <w:vAlign w:val="center"/>
          </w:tcPr>
          <w:p w14:paraId="2B6AA285"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w:t>
            </w:r>
          </w:p>
        </w:tc>
        <w:tc>
          <w:tcPr>
            <w:tcW w:w="959" w:type="dxa"/>
            <w:tcBorders>
              <w:top w:val="nil"/>
              <w:left w:val="nil"/>
              <w:bottom w:val="single" w:sz="4" w:space="0" w:color="000000"/>
              <w:right w:val="nil"/>
            </w:tcBorders>
            <w:vAlign w:val="center"/>
          </w:tcPr>
          <w:p w14:paraId="34E9A2FB"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 Part shade</w:t>
            </w:r>
          </w:p>
        </w:tc>
        <w:tc>
          <w:tcPr>
            <w:tcW w:w="980" w:type="dxa"/>
            <w:tcBorders>
              <w:top w:val="nil"/>
              <w:left w:val="nil"/>
              <w:bottom w:val="single" w:sz="4" w:space="0" w:color="000000"/>
              <w:right w:val="nil"/>
            </w:tcBorders>
            <w:vAlign w:val="center"/>
          </w:tcPr>
          <w:p w14:paraId="021E48C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 xml:space="preserve">  18 - 24"</w:t>
            </w:r>
          </w:p>
        </w:tc>
        <w:tc>
          <w:tcPr>
            <w:tcW w:w="1199" w:type="dxa"/>
            <w:tcBorders>
              <w:top w:val="nil"/>
              <w:left w:val="nil"/>
              <w:bottom w:val="single" w:sz="4" w:space="0" w:color="000000"/>
              <w:right w:val="nil"/>
            </w:tcBorders>
            <w:vAlign w:val="center"/>
          </w:tcPr>
          <w:p w14:paraId="5EDAF313"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8 - 12"</w:t>
            </w:r>
          </w:p>
        </w:tc>
        <w:tc>
          <w:tcPr>
            <w:tcW w:w="1456" w:type="dxa"/>
            <w:tcBorders>
              <w:top w:val="nil"/>
              <w:left w:val="nil"/>
              <w:bottom w:val="single" w:sz="4" w:space="0" w:color="000000"/>
              <w:right w:val="nil"/>
            </w:tcBorders>
            <w:vAlign w:val="center"/>
          </w:tcPr>
          <w:p w14:paraId="10AC189E"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 or direct seed</w:t>
            </w:r>
          </w:p>
        </w:tc>
        <w:tc>
          <w:tcPr>
            <w:tcW w:w="6355" w:type="dxa"/>
            <w:tcBorders>
              <w:top w:val="nil"/>
              <w:left w:val="nil"/>
              <w:bottom w:val="single" w:sz="4" w:space="0" w:color="000000"/>
              <w:right w:val="single" w:sz="8" w:space="0" w:color="000000"/>
            </w:tcBorders>
            <w:vAlign w:val="center"/>
          </w:tcPr>
          <w:p w14:paraId="3539216B" w14:textId="77777777" w:rsidR="00CB2805" w:rsidRDefault="00000000">
            <w:pPr>
              <w:ind w:left="0" w:hanging="2"/>
              <w:rPr>
                <w:rFonts w:ascii="Arial" w:eastAsia="Arial" w:hAnsi="Arial" w:cs="Arial"/>
                <w:sz w:val="17"/>
                <w:szCs w:val="17"/>
              </w:rPr>
            </w:pPr>
            <w:r>
              <w:rPr>
                <w:rFonts w:ascii="Arial" w:eastAsia="Arial" w:hAnsi="Arial" w:cs="Arial"/>
                <w:sz w:val="17"/>
                <w:szCs w:val="17"/>
              </w:rPr>
              <w:t>Warmth needed, plant in late spring, pinch off flowers to lengthen harvest season, good for containers. Favorite varieties: Genoa (for pesto), Red Rubin, Fino Verde (compact, small-leaved), Lemon, Siam Queen (a Thai basil variety.) Basil is classic tomato herb.</w:t>
            </w:r>
          </w:p>
        </w:tc>
      </w:tr>
      <w:tr w:rsidR="00CB2805" w14:paraId="1B1FA03D" w14:textId="77777777">
        <w:trPr>
          <w:trHeight w:val="1140"/>
        </w:trPr>
        <w:tc>
          <w:tcPr>
            <w:tcW w:w="1260" w:type="dxa"/>
            <w:tcBorders>
              <w:top w:val="nil"/>
              <w:left w:val="single" w:sz="8" w:space="0" w:color="000000"/>
              <w:bottom w:val="single" w:sz="4" w:space="0" w:color="000000"/>
              <w:right w:val="nil"/>
            </w:tcBorders>
            <w:vAlign w:val="center"/>
          </w:tcPr>
          <w:p w14:paraId="51819C4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Bay Laurel</w:t>
            </w:r>
          </w:p>
        </w:tc>
        <w:tc>
          <w:tcPr>
            <w:tcW w:w="991" w:type="dxa"/>
            <w:tcBorders>
              <w:top w:val="nil"/>
              <w:left w:val="nil"/>
              <w:bottom w:val="single" w:sz="4" w:space="0" w:color="000000"/>
              <w:right w:val="nil"/>
            </w:tcBorders>
            <w:vAlign w:val="center"/>
          </w:tcPr>
          <w:p w14:paraId="74556F2A"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0C968583"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Low to Average</w:t>
            </w:r>
          </w:p>
        </w:tc>
        <w:tc>
          <w:tcPr>
            <w:tcW w:w="959" w:type="dxa"/>
            <w:tcBorders>
              <w:top w:val="nil"/>
              <w:left w:val="nil"/>
              <w:bottom w:val="single" w:sz="4" w:space="0" w:color="000000"/>
              <w:right w:val="nil"/>
            </w:tcBorders>
            <w:vAlign w:val="center"/>
          </w:tcPr>
          <w:p w14:paraId="058CB1C2"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 Part shade</w:t>
            </w:r>
          </w:p>
        </w:tc>
        <w:tc>
          <w:tcPr>
            <w:tcW w:w="980" w:type="dxa"/>
            <w:tcBorders>
              <w:top w:val="nil"/>
              <w:left w:val="nil"/>
              <w:bottom w:val="single" w:sz="4" w:space="0" w:color="000000"/>
              <w:right w:val="nil"/>
            </w:tcBorders>
            <w:vAlign w:val="center"/>
          </w:tcPr>
          <w:p w14:paraId="018C17AD"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4 - 40 ft</w:t>
            </w:r>
          </w:p>
        </w:tc>
        <w:tc>
          <w:tcPr>
            <w:tcW w:w="1199" w:type="dxa"/>
            <w:tcBorders>
              <w:top w:val="nil"/>
              <w:left w:val="nil"/>
              <w:bottom w:val="single" w:sz="4" w:space="0" w:color="000000"/>
              <w:right w:val="nil"/>
            </w:tcBorders>
            <w:vAlign w:val="center"/>
          </w:tcPr>
          <w:p w14:paraId="7675042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6 ft</w:t>
            </w:r>
          </w:p>
        </w:tc>
        <w:tc>
          <w:tcPr>
            <w:tcW w:w="1456" w:type="dxa"/>
            <w:tcBorders>
              <w:top w:val="nil"/>
              <w:left w:val="nil"/>
              <w:bottom w:val="single" w:sz="4" w:space="0" w:color="000000"/>
              <w:right w:val="nil"/>
            </w:tcBorders>
            <w:vAlign w:val="center"/>
          </w:tcPr>
          <w:p w14:paraId="022DA192"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2B9C02AE" w14:textId="77777777" w:rsidR="00CB2805" w:rsidRDefault="00000000">
            <w:pPr>
              <w:ind w:left="0" w:hanging="2"/>
              <w:rPr>
                <w:rFonts w:ascii="Arial" w:eastAsia="Arial" w:hAnsi="Arial" w:cs="Arial"/>
                <w:sz w:val="17"/>
                <w:szCs w:val="17"/>
              </w:rPr>
            </w:pPr>
            <w:r>
              <w:rPr>
                <w:rFonts w:ascii="Arial" w:eastAsia="Arial" w:hAnsi="Arial" w:cs="Arial"/>
                <w:sz w:val="17"/>
                <w:szCs w:val="17"/>
              </w:rPr>
              <w:t>One is enough. Not same plant as California Bay. Control size with pruning, good choice for topiary. Needs good drainage and very little water once established. Good choice for large container. Psyllids can cause leaf curling but damage mainly cosmetic. Favorite variety: Saratoga. Use in soups, stews, roasts; part of classic bouquet garni.</w:t>
            </w:r>
          </w:p>
        </w:tc>
      </w:tr>
      <w:tr w:rsidR="00CB2805" w14:paraId="12F85A11" w14:textId="77777777">
        <w:trPr>
          <w:trHeight w:val="684"/>
        </w:trPr>
        <w:tc>
          <w:tcPr>
            <w:tcW w:w="1260" w:type="dxa"/>
            <w:tcBorders>
              <w:top w:val="nil"/>
              <w:left w:val="single" w:sz="8" w:space="0" w:color="000000"/>
              <w:bottom w:val="single" w:sz="4" w:space="0" w:color="000000"/>
              <w:right w:val="nil"/>
            </w:tcBorders>
            <w:vAlign w:val="center"/>
          </w:tcPr>
          <w:p w14:paraId="2752F22B"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Chervil</w:t>
            </w:r>
          </w:p>
        </w:tc>
        <w:tc>
          <w:tcPr>
            <w:tcW w:w="991" w:type="dxa"/>
            <w:tcBorders>
              <w:top w:val="nil"/>
              <w:left w:val="nil"/>
              <w:bottom w:val="single" w:sz="4" w:space="0" w:color="000000"/>
              <w:right w:val="nil"/>
            </w:tcBorders>
            <w:vAlign w:val="center"/>
          </w:tcPr>
          <w:p w14:paraId="34212354"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Annual</w:t>
            </w:r>
          </w:p>
        </w:tc>
        <w:tc>
          <w:tcPr>
            <w:tcW w:w="980" w:type="dxa"/>
            <w:tcBorders>
              <w:top w:val="nil"/>
              <w:left w:val="nil"/>
              <w:bottom w:val="single" w:sz="4" w:space="0" w:color="000000"/>
              <w:right w:val="nil"/>
            </w:tcBorders>
            <w:vAlign w:val="center"/>
          </w:tcPr>
          <w:p w14:paraId="765520D5"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w:t>
            </w:r>
          </w:p>
        </w:tc>
        <w:tc>
          <w:tcPr>
            <w:tcW w:w="959" w:type="dxa"/>
            <w:tcBorders>
              <w:top w:val="nil"/>
              <w:left w:val="nil"/>
              <w:bottom w:val="single" w:sz="4" w:space="0" w:color="000000"/>
              <w:right w:val="nil"/>
            </w:tcBorders>
            <w:vAlign w:val="center"/>
          </w:tcPr>
          <w:p w14:paraId="3AD98AFC"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Part shade/ Shade</w:t>
            </w:r>
          </w:p>
        </w:tc>
        <w:tc>
          <w:tcPr>
            <w:tcW w:w="980" w:type="dxa"/>
            <w:tcBorders>
              <w:top w:val="nil"/>
              <w:left w:val="nil"/>
              <w:bottom w:val="single" w:sz="4" w:space="0" w:color="000000"/>
              <w:right w:val="nil"/>
            </w:tcBorders>
            <w:vAlign w:val="center"/>
          </w:tcPr>
          <w:p w14:paraId="46B5A5E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10"</w:t>
            </w:r>
          </w:p>
        </w:tc>
        <w:tc>
          <w:tcPr>
            <w:tcW w:w="1199" w:type="dxa"/>
            <w:tcBorders>
              <w:top w:val="nil"/>
              <w:left w:val="nil"/>
              <w:bottom w:val="single" w:sz="4" w:space="0" w:color="000000"/>
              <w:right w:val="nil"/>
            </w:tcBorders>
            <w:vAlign w:val="center"/>
          </w:tcPr>
          <w:p w14:paraId="41AAB69C"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1 - 3"</w:t>
            </w:r>
          </w:p>
        </w:tc>
        <w:tc>
          <w:tcPr>
            <w:tcW w:w="1456" w:type="dxa"/>
            <w:tcBorders>
              <w:top w:val="nil"/>
              <w:left w:val="nil"/>
              <w:bottom w:val="single" w:sz="4" w:space="0" w:color="000000"/>
              <w:right w:val="nil"/>
            </w:tcBorders>
            <w:vAlign w:val="center"/>
          </w:tcPr>
          <w:p w14:paraId="4D2C45C7"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Direct seed, </w:t>
            </w:r>
            <w:proofErr w:type="spellStart"/>
            <w:r>
              <w:rPr>
                <w:rFonts w:ascii="Arial" w:eastAsia="Arial" w:hAnsi="Arial" w:cs="Arial"/>
                <w:sz w:val="17"/>
                <w:szCs w:val="17"/>
              </w:rPr>
              <w:t>self sows</w:t>
            </w:r>
            <w:proofErr w:type="spellEnd"/>
          </w:p>
        </w:tc>
        <w:tc>
          <w:tcPr>
            <w:tcW w:w="6355" w:type="dxa"/>
            <w:tcBorders>
              <w:top w:val="nil"/>
              <w:left w:val="nil"/>
              <w:bottom w:val="single" w:sz="4" w:space="0" w:color="000000"/>
              <w:right w:val="single" w:sz="8" w:space="0" w:color="000000"/>
            </w:tcBorders>
            <w:vAlign w:val="center"/>
          </w:tcPr>
          <w:p w14:paraId="367DCB98" w14:textId="77777777" w:rsidR="00CB2805" w:rsidRDefault="00000000">
            <w:pPr>
              <w:ind w:left="0" w:hanging="2"/>
              <w:rPr>
                <w:rFonts w:ascii="Arial" w:eastAsia="Arial" w:hAnsi="Arial" w:cs="Arial"/>
                <w:sz w:val="17"/>
                <w:szCs w:val="17"/>
              </w:rPr>
            </w:pPr>
            <w:r>
              <w:rPr>
                <w:rFonts w:ascii="Arial" w:eastAsia="Arial" w:hAnsi="Arial" w:cs="Arial"/>
                <w:sz w:val="17"/>
                <w:szCs w:val="17"/>
              </w:rPr>
              <w:t>Cool season, plant in early fall or late winter. Shrivels in hot sun. Can sow in dense block. Mild anise- like flavor. Flavor diminishes when cooked - try with eggs, fish, vegetables, in salads.</w:t>
            </w:r>
          </w:p>
        </w:tc>
      </w:tr>
      <w:tr w:rsidR="00CB2805" w14:paraId="3F3BDE60" w14:textId="77777777">
        <w:trPr>
          <w:trHeight w:val="684"/>
        </w:trPr>
        <w:tc>
          <w:tcPr>
            <w:tcW w:w="1260" w:type="dxa"/>
            <w:tcBorders>
              <w:top w:val="nil"/>
              <w:left w:val="single" w:sz="8" w:space="0" w:color="000000"/>
              <w:bottom w:val="single" w:sz="4" w:space="0" w:color="000000"/>
              <w:right w:val="nil"/>
            </w:tcBorders>
            <w:vAlign w:val="center"/>
          </w:tcPr>
          <w:p w14:paraId="5CA3FB77"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Chives and Garlic Chives</w:t>
            </w:r>
          </w:p>
        </w:tc>
        <w:tc>
          <w:tcPr>
            <w:tcW w:w="991" w:type="dxa"/>
            <w:tcBorders>
              <w:top w:val="nil"/>
              <w:left w:val="nil"/>
              <w:bottom w:val="single" w:sz="4" w:space="0" w:color="000000"/>
              <w:right w:val="nil"/>
            </w:tcBorders>
            <w:vAlign w:val="center"/>
          </w:tcPr>
          <w:p w14:paraId="19F2F467"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1896C3AD"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w:t>
            </w:r>
          </w:p>
        </w:tc>
        <w:tc>
          <w:tcPr>
            <w:tcW w:w="959" w:type="dxa"/>
            <w:tcBorders>
              <w:top w:val="nil"/>
              <w:left w:val="nil"/>
              <w:bottom w:val="single" w:sz="4" w:space="0" w:color="000000"/>
              <w:right w:val="nil"/>
            </w:tcBorders>
            <w:vAlign w:val="center"/>
          </w:tcPr>
          <w:p w14:paraId="6ADD766C"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 Part shade</w:t>
            </w:r>
          </w:p>
        </w:tc>
        <w:tc>
          <w:tcPr>
            <w:tcW w:w="980" w:type="dxa"/>
            <w:tcBorders>
              <w:top w:val="nil"/>
              <w:left w:val="nil"/>
              <w:bottom w:val="single" w:sz="4" w:space="0" w:color="000000"/>
              <w:right w:val="nil"/>
            </w:tcBorders>
            <w:vAlign w:val="center"/>
          </w:tcPr>
          <w:p w14:paraId="4D14FE60"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12"</w:t>
            </w:r>
          </w:p>
        </w:tc>
        <w:tc>
          <w:tcPr>
            <w:tcW w:w="1199" w:type="dxa"/>
            <w:tcBorders>
              <w:top w:val="nil"/>
              <w:left w:val="nil"/>
              <w:bottom w:val="single" w:sz="4" w:space="0" w:color="000000"/>
              <w:right w:val="nil"/>
            </w:tcBorders>
            <w:vAlign w:val="center"/>
          </w:tcPr>
          <w:p w14:paraId="396F8D81"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8 - 12"</w:t>
            </w:r>
          </w:p>
        </w:tc>
        <w:tc>
          <w:tcPr>
            <w:tcW w:w="1456" w:type="dxa"/>
            <w:tcBorders>
              <w:top w:val="nil"/>
              <w:left w:val="nil"/>
              <w:bottom w:val="single" w:sz="4" w:space="0" w:color="000000"/>
              <w:right w:val="nil"/>
            </w:tcBorders>
            <w:vAlign w:val="center"/>
          </w:tcPr>
          <w:p w14:paraId="07946588"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6307D9D0"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Fertilize a couple times a year, divide every two to four </w:t>
            </w:r>
            <w:proofErr w:type="gramStart"/>
            <w:r>
              <w:rPr>
                <w:rFonts w:ascii="Arial" w:eastAsia="Arial" w:hAnsi="Arial" w:cs="Arial"/>
                <w:sz w:val="17"/>
                <w:szCs w:val="17"/>
              </w:rPr>
              <w:t>years,  good</w:t>
            </w:r>
            <w:proofErr w:type="gramEnd"/>
            <w:r>
              <w:rPr>
                <w:rFonts w:ascii="Arial" w:eastAsia="Arial" w:hAnsi="Arial" w:cs="Arial"/>
                <w:sz w:val="17"/>
                <w:szCs w:val="17"/>
              </w:rPr>
              <w:t xml:space="preserve"> container plants. Harvest by cutting leaves at ground level. Mild onion or garlic flavor best used raw. Blossoms edible, nice in salads.</w:t>
            </w:r>
          </w:p>
        </w:tc>
      </w:tr>
      <w:tr w:rsidR="00CB2805" w14:paraId="61C33961" w14:textId="77777777">
        <w:trPr>
          <w:trHeight w:val="1140"/>
        </w:trPr>
        <w:tc>
          <w:tcPr>
            <w:tcW w:w="1260" w:type="dxa"/>
            <w:tcBorders>
              <w:top w:val="nil"/>
              <w:left w:val="single" w:sz="8" w:space="0" w:color="000000"/>
              <w:bottom w:val="single" w:sz="4" w:space="0" w:color="000000"/>
              <w:right w:val="nil"/>
            </w:tcBorders>
            <w:vAlign w:val="center"/>
          </w:tcPr>
          <w:p w14:paraId="76CECC3C"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Cilantro (Coriander)</w:t>
            </w:r>
          </w:p>
        </w:tc>
        <w:tc>
          <w:tcPr>
            <w:tcW w:w="991" w:type="dxa"/>
            <w:tcBorders>
              <w:top w:val="nil"/>
              <w:left w:val="nil"/>
              <w:bottom w:val="single" w:sz="4" w:space="0" w:color="000000"/>
              <w:right w:val="nil"/>
            </w:tcBorders>
            <w:vAlign w:val="center"/>
          </w:tcPr>
          <w:p w14:paraId="767DFEF2"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Annual</w:t>
            </w:r>
          </w:p>
        </w:tc>
        <w:tc>
          <w:tcPr>
            <w:tcW w:w="980" w:type="dxa"/>
            <w:tcBorders>
              <w:top w:val="nil"/>
              <w:left w:val="nil"/>
              <w:bottom w:val="single" w:sz="4" w:space="0" w:color="000000"/>
              <w:right w:val="nil"/>
            </w:tcBorders>
            <w:vAlign w:val="center"/>
          </w:tcPr>
          <w:p w14:paraId="5AAA9282"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w:t>
            </w:r>
          </w:p>
        </w:tc>
        <w:tc>
          <w:tcPr>
            <w:tcW w:w="959" w:type="dxa"/>
            <w:tcBorders>
              <w:top w:val="nil"/>
              <w:left w:val="nil"/>
              <w:bottom w:val="single" w:sz="4" w:space="0" w:color="000000"/>
              <w:right w:val="nil"/>
            </w:tcBorders>
            <w:vAlign w:val="center"/>
          </w:tcPr>
          <w:p w14:paraId="5CC3642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Part shade</w:t>
            </w:r>
          </w:p>
        </w:tc>
        <w:tc>
          <w:tcPr>
            <w:tcW w:w="980" w:type="dxa"/>
            <w:tcBorders>
              <w:top w:val="nil"/>
              <w:left w:val="nil"/>
              <w:bottom w:val="single" w:sz="4" w:space="0" w:color="000000"/>
              <w:right w:val="nil"/>
            </w:tcBorders>
            <w:vAlign w:val="center"/>
          </w:tcPr>
          <w:p w14:paraId="4EE6580E"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12 - 24"</w:t>
            </w:r>
          </w:p>
        </w:tc>
        <w:tc>
          <w:tcPr>
            <w:tcW w:w="1199" w:type="dxa"/>
            <w:tcBorders>
              <w:top w:val="nil"/>
              <w:left w:val="nil"/>
              <w:bottom w:val="single" w:sz="4" w:space="0" w:color="000000"/>
              <w:right w:val="nil"/>
            </w:tcBorders>
            <w:vAlign w:val="center"/>
          </w:tcPr>
          <w:p w14:paraId="75CCDEC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3 - 4"</w:t>
            </w:r>
          </w:p>
        </w:tc>
        <w:tc>
          <w:tcPr>
            <w:tcW w:w="1456" w:type="dxa"/>
            <w:tcBorders>
              <w:top w:val="nil"/>
              <w:left w:val="nil"/>
              <w:bottom w:val="single" w:sz="4" w:space="0" w:color="000000"/>
              <w:right w:val="nil"/>
            </w:tcBorders>
            <w:vAlign w:val="center"/>
          </w:tcPr>
          <w:p w14:paraId="4F8BACB8"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Direct seed </w:t>
            </w:r>
            <w:proofErr w:type="gramStart"/>
            <w:r>
              <w:rPr>
                <w:rFonts w:ascii="Arial" w:eastAsia="Arial" w:hAnsi="Arial" w:cs="Arial"/>
                <w:sz w:val="17"/>
                <w:szCs w:val="17"/>
              </w:rPr>
              <w:t>or  start</w:t>
            </w:r>
            <w:proofErr w:type="gramEnd"/>
            <w:r>
              <w:rPr>
                <w:rFonts w:ascii="Arial" w:eastAsia="Arial" w:hAnsi="Arial" w:cs="Arial"/>
                <w:sz w:val="17"/>
                <w:szCs w:val="17"/>
              </w:rPr>
              <w:t xml:space="preserve"> with plants; can self-sow</w:t>
            </w:r>
          </w:p>
        </w:tc>
        <w:tc>
          <w:tcPr>
            <w:tcW w:w="6355" w:type="dxa"/>
            <w:tcBorders>
              <w:top w:val="nil"/>
              <w:left w:val="nil"/>
              <w:bottom w:val="single" w:sz="4" w:space="0" w:color="000000"/>
              <w:right w:val="single" w:sz="8" w:space="0" w:color="000000"/>
            </w:tcBorders>
            <w:vAlign w:val="center"/>
          </w:tcPr>
          <w:p w14:paraId="3C6DF7AB" w14:textId="77777777" w:rsidR="00CB2805" w:rsidRDefault="00000000">
            <w:pPr>
              <w:ind w:left="0" w:hanging="2"/>
              <w:rPr>
                <w:rFonts w:ascii="Arial" w:eastAsia="Arial" w:hAnsi="Arial" w:cs="Arial"/>
                <w:sz w:val="17"/>
                <w:szCs w:val="17"/>
              </w:rPr>
            </w:pPr>
            <w:r>
              <w:rPr>
                <w:rFonts w:ascii="Arial" w:eastAsia="Arial" w:hAnsi="Arial" w:cs="Arial"/>
                <w:sz w:val="17"/>
                <w:szCs w:val="17"/>
              </w:rPr>
              <w:t>Best in cool season, planted in early fall or early spring. For constant supply in warm weather, plant every three weeks in partial shade. Can grow in containers. Favorite varieties: Slow Bolt. Leaves used in Mexican, Asian, Middle Eastern cooking, usually uncooked; great addition to salads. Seeds used as spice, often toasted.</w:t>
            </w:r>
          </w:p>
        </w:tc>
      </w:tr>
      <w:tr w:rsidR="00CB2805" w14:paraId="2301A3C0" w14:textId="77777777">
        <w:trPr>
          <w:trHeight w:val="912"/>
        </w:trPr>
        <w:tc>
          <w:tcPr>
            <w:tcW w:w="1260" w:type="dxa"/>
            <w:tcBorders>
              <w:top w:val="nil"/>
              <w:left w:val="single" w:sz="8" w:space="0" w:color="000000"/>
              <w:bottom w:val="single" w:sz="4" w:space="0" w:color="000000"/>
              <w:right w:val="nil"/>
            </w:tcBorders>
            <w:vAlign w:val="center"/>
          </w:tcPr>
          <w:p w14:paraId="197D2B6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lastRenderedPageBreak/>
              <w:t>Dill</w:t>
            </w:r>
          </w:p>
        </w:tc>
        <w:tc>
          <w:tcPr>
            <w:tcW w:w="991" w:type="dxa"/>
            <w:tcBorders>
              <w:top w:val="nil"/>
              <w:left w:val="nil"/>
              <w:bottom w:val="single" w:sz="4" w:space="0" w:color="000000"/>
              <w:right w:val="nil"/>
            </w:tcBorders>
            <w:vAlign w:val="center"/>
          </w:tcPr>
          <w:p w14:paraId="71F72792"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Annual</w:t>
            </w:r>
          </w:p>
        </w:tc>
        <w:tc>
          <w:tcPr>
            <w:tcW w:w="980" w:type="dxa"/>
            <w:tcBorders>
              <w:top w:val="nil"/>
              <w:left w:val="nil"/>
              <w:bottom w:val="single" w:sz="4" w:space="0" w:color="000000"/>
              <w:right w:val="nil"/>
            </w:tcBorders>
            <w:vAlign w:val="center"/>
          </w:tcPr>
          <w:p w14:paraId="31B5F05F"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w:t>
            </w:r>
          </w:p>
        </w:tc>
        <w:tc>
          <w:tcPr>
            <w:tcW w:w="959" w:type="dxa"/>
            <w:tcBorders>
              <w:top w:val="nil"/>
              <w:left w:val="nil"/>
              <w:bottom w:val="single" w:sz="4" w:space="0" w:color="000000"/>
              <w:right w:val="nil"/>
            </w:tcBorders>
            <w:vAlign w:val="center"/>
          </w:tcPr>
          <w:p w14:paraId="2BD32862"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 Part shade</w:t>
            </w:r>
          </w:p>
        </w:tc>
        <w:tc>
          <w:tcPr>
            <w:tcW w:w="980" w:type="dxa"/>
            <w:tcBorders>
              <w:top w:val="nil"/>
              <w:left w:val="nil"/>
              <w:bottom w:val="single" w:sz="4" w:space="0" w:color="000000"/>
              <w:right w:val="nil"/>
            </w:tcBorders>
            <w:vAlign w:val="center"/>
          </w:tcPr>
          <w:p w14:paraId="5EC0F01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18 - 36"</w:t>
            </w:r>
          </w:p>
        </w:tc>
        <w:tc>
          <w:tcPr>
            <w:tcW w:w="1199" w:type="dxa"/>
            <w:tcBorders>
              <w:top w:val="nil"/>
              <w:left w:val="nil"/>
              <w:bottom w:val="single" w:sz="4" w:space="0" w:color="000000"/>
              <w:right w:val="nil"/>
            </w:tcBorders>
            <w:vAlign w:val="center"/>
          </w:tcPr>
          <w:p w14:paraId="2AC7C746"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1 - 12"</w:t>
            </w:r>
          </w:p>
        </w:tc>
        <w:tc>
          <w:tcPr>
            <w:tcW w:w="1456" w:type="dxa"/>
            <w:tcBorders>
              <w:top w:val="nil"/>
              <w:left w:val="nil"/>
              <w:bottom w:val="single" w:sz="4" w:space="0" w:color="000000"/>
              <w:right w:val="nil"/>
            </w:tcBorders>
            <w:vAlign w:val="center"/>
          </w:tcPr>
          <w:p w14:paraId="4D349A40"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Direct seed, </w:t>
            </w:r>
            <w:proofErr w:type="spellStart"/>
            <w:r>
              <w:rPr>
                <w:rFonts w:ascii="Arial" w:eastAsia="Arial" w:hAnsi="Arial" w:cs="Arial"/>
                <w:sz w:val="17"/>
                <w:szCs w:val="17"/>
              </w:rPr>
              <w:t>self sows</w:t>
            </w:r>
            <w:proofErr w:type="spellEnd"/>
          </w:p>
        </w:tc>
        <w:tc>
          <w:tcPr>
            <w:tcW w:w="6355" w:type="dxa"/>
            <w:tcBorders>
              <w:top w:val="nil"/>
              <w:left w:val="nil"/>
              <w:bottom w:val="single" w:sz="4" w:space="0" w:color="000000"/>
              <w:right w:val="single" w:sz="8" w:space="0" w:color="000000"/>
            </w:tcBorders>
            <w:vAlign w:val="center"/>
          </w:tcPr>
          <w:p w14:paraId="760E7093" w14:textId="77777777" w:rsidR="00CB2805" w:rsidRDefault="00000000">
            <w:pPr>
              <w:ind w:left="0" w:hanging="2"/>
              <w:rPr>
                <w:rFonts w:ascii="Arial" w:eastAsia="Arial" w:hAnsi="Arial" w:cs="Arial"/>
                <w:sz w:val="17"/>
                <w:szCs w:val="17"/>
              </w:rPr>
            </w:pPr>
            <w:r>
              <w:rPr>
                <w:rFonts w:ascii="Arial" w:eastAsia="Arial" w:hAnsi="Arial" w:cs="Arial"/>
                <w:sz w:val="17"/>
                <w:szCs w:val="17"/>
              </w:rPr>
              <w:t>Sow densely for leaves, 12" apart for seeds. For constant supply of leaves, sow every 3 weeks. Grows best in cool weather. Favorite varieties: Dukat (slow to bolt) for leaves, Mammoth or Bouquet for seeds. Leaves used in salads, with fish and vegetables, best uncooked; seeds used in pickles and breads.</w:t>
            </w:r>
          </w:p>
        </w:tc>
      </w:tr>
      <w:tr w:rsidR="00CB2805" w14:paraId="4081279F" w14:textId="77777777">
        <w:trPr>
          <w:trHeight w:val="1115"/>
        </w:trPr>
        <w:tc>
          <w:tcPr>
            <w:tcW w:w="1260" w:type="dxa"/>
            <w:tcBorders>
              <w:top w:val="nil"/>
              <w:left w:val="single" w:sz="8" w:space="0" w:color="000000"/>
              <w:bottom w:val="single" w:sz="4" w:space="0" w:color="000000"/>
              <w:right w:val="nil"/>
            </w:tcBorders>
            <w:vAlign w:val="center"/>
          </w:tcPr>
          <w:p w14:paraId="10F3C968"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Lavender</w:t>
            </w:r>
          </w:p>
        </w:tc>
        <w:tc>
          <w:tcPr>
            <w:tcW w:w="991" w:type="dxa"/>
            <w:tcBorders>
              <w:top w:val="nil"/>
              <w:left w:val="nil"/>
              <w:bottom w:val="single" w:sz="4" w:space="0" w:color="000000"/>
              <w:right w:val="nil"/>
            </w:tcBorders>
            <w:vAlign w:val="center"/>
          </w:tcPr>
          <w:p w14:paraId="7382474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67F5B7AC"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Low</w:t>
            </w:r>
          </w:p>
        </w:tc>
        <w:tc>
          <w:tcPr>
            <w:tcW w:w="959" w:type="dxa"/>
            <w:tcBorders>
              <w:top w:val="nil"/>
              <w:left w:val="nil"/>
              <w:bottom w:val="single" w:sz="4" w:space="0" w:color="000000"/>
              <w:right w:val="nil"/>
            </w:tcBorders>
            <w:vAlign w:val="center"/>
          </w:tcPr>
          <w:p w14:paraId="589440F0"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w:t>
            </w:r>
          </w:p>
        </w:tc>
        <w:tc>
          <w:tcPr>
            <w:tcW w:w="980" w:type="dxa"/>
            <w:tcBorders>
              <w:top w:val="nil"/>
              <w:left w:val="nil"/>
              <w:bottom w:val="single" w:sz="4" w:space="0" w:color="000000"/>
              <w:right w:val="nil"/>
            </w:tcBorders>
            <w:vAlign w:val="center"/>
          </w:tcPr>
          <w:p w14:paraId="4A8C0FE7"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1 - 3 ft</w:t>
            </w:r>
          </w:p>
        </w:tc>
        <w:tc>
          <w:tcPr>
            <w:tcW w:w="1199" w:type="dxa"/>
            <w:tcBorders>
              <w:top w:val="nil"/>
              <w:left w:val="nil"/>
              <w:bottom w:val="single" w:sz="4" w:space="0" w:color="000000"/>
              <w:right w:val="nil"/>
            </w:tcBorders>
            <w:vAlign w:val="center"/>
          </w:tcPr>
          <w:p w14:paraId="7A4AED27"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 xml:space="preserve">1 - 3 ft </w:t>
            </w:r>
          </w:p>
        </w:tc>
        <w:tc>
          <w:tcPr>
            <w:tcW w:w="1456" w:type="dxa"/>
            <w:tcBorders>
              <w:top w:val="nil"/>
              <w:left w:val="nil"/>
              <w:bottom w:val="single" w:sz="4" w:space="0" w:color="000000"/>
              <w:right w:val="nil"/>
            </w:tcBorders>
            <w:vAlign w:val="center"/>
          </w:tcPr>
          <w:p w14:paraId="2778E203"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638355D8"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Needs sunny location with excellent drainage, low water use, prune off spent flower stems, good for containers and rock gardens. For culinary purposes choose English lavender </w:t>
            </w:r>
            <w:r>
              <w:rPr>
                <w:rFonts w:ascii="Arial" w:eastAsia="Arial" w:hAnsi="Arial" w:cs="Arial"/>
                <w:i/>
                <w:sz w:val="17"/>
                <w:szCs w:val="17"/>
              </w:rPr>
              <w:t>(</w:t>
            </w:r>
            <w:proofErr w:type="spellStart"/>
            <w:r>
              <w:rPr>
                <w:rFonts w:ascii="Arial" w:eastAsia="Arial" w:hAnsi="Arial" w:cs="Arial"/>
                <w:i/>
                <w:sz w:val="17"/>
                <w:szCs w:val="17"/>
              </w:rPr>
              <w:t>Lavendula</w:t>
            </w:r>
            <w:proofErr w:type="spellEnd"/>
            <w:r>
              <w:rPr>
                <w:rFonts w:ascii="Arial" w:eastAsia="Arial" w:hAnsi="Arial" w:cs="Arial"/>
                <w:i/>
                <w:sz w:val="17"/>
                <w:szCs w:val="17"/>
              </w:rPr>
              <w:t xml:space="preserve"> </w:t>
            </w:r>
            <w:proofErr w:type="spellStart"/>
            <w:r>
              <w:rPr>
                <w:rFonts w:ascii="Arial" w:eastAsia="Arial" w:hAnsi="Arial" w:cs="Arial"/>
                <w:i/>
                <w:sz w:val="17"/>
                <w:szCs w:val="17"/>
              </w:rPr>
              <w:t>augustifolia</w:t>
            </w:r>
            <w:proofErr w:type="spellEnd"/>
            <w:r>
              <w:rPr>
                <w:rFonts w:ascii="Arial" w:eastAsia="Arial" w:hAnsi="Arial" w:cs="Arial"/>
                <w:i/>
                <w:sz w:val="17"/>
                <w:szCs w:val="17"/>
              </w:rPr>
              <w:t>);</w:t>
            </w:r>
            <w:r>
              <w:rPr>
                <w:rFonts w:ascii="Arial" w:eastAsia="Arial" w:hAnsi="Arial" w:cs="Arial"/>
                <w:sz w:val="17"/>
                <w:szCs w:val="17"/>
              </w:rPr>
              <w:t xml:space="preserve"> many cultivars available. Used in teas, in Herbes de Provence, with meats, fruit, desserts.</w:t>
            </w:r>
          </w:p>
        </w:tc>
      </w:tr>
      <w:tr w:rsidR="00CB2805" w14:paraId="0CD84155" w14:textId="77777777">
        <w:trPr>
          <w:trHeight w:val="456"/>
        </w:trPr>
        <w:tc>
          <w:tcPr>
            <w:tcW w:w="1260" w:type="dxa"/>
            <w:tcBorders>
              <w:top w:val="nil"/>
              <w:left w:val="single" w:sz="8" w:space="0" w:color="000000"/>
              <w:bottom w:val="single" w:sz="4" w:space="0" w:color="000000"/>
              <w:right w:val="nil"/>
            </w:tcBorders>
            <w:vAlign w:val="center"/>
          </w:tcPr>
          <w:p w14:paraId="35D9C4AC"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Lemon Balm</w:t>
            </w:r>
          </w:p>
        </w:tc>
        <w:tc>
          <w:tcPr>
            <w:tcW w:w="991" w:type="dxa"/>
            <w:tcBorders>
              <w:top w:val="nil"/>
              <w:left w:val="nil"/>
              <w:bottom w:val="single" w:sz="4" w:space="0" w:color="000000"/>
              <w:right w:val="nil"/>
            </w:tcBorders>
            <w:vAlign w:val="center"/>
          </w:tcPr>
          <w:p w14:paraId="7E5AC004"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7A8548DE"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w:t>
            </w:r>
          </w:p>
        </w:tc>
        <w:tc>
          <w:tcPr>
            <w:tcW w:w="959" w:type="dxa"/>
            <w:tcBorders>
              <w:top w:val="nil"/>
              <w:left w:val="nil"/>
              <w:bottom w:val="single" w:sz="4" w:space="0" w:color="000000"/>
              <w:right w:val="nil"/>
            </w:tcBorders>
            <w:vAlign w:val="center"/>
          </w:tcPr>
          <w:p w14:paraId="664970BF"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Part shade</w:t>
            </w:r>
          </w:p>
        </w:tc>
        <w:tc>
          <w:tcPr>
            <w:tcW w:w="980" w:type="dxa"/>
            <w:tcBorders>
              <w:top w:val="nil"/>
              <w:left w:val="nil"/>
              <w:bottom w:val="single" w:sz="4" w:space="0" w:color="000000"/>
              <w:right w:val="nil"/>
            </w:tcBorders>
            <w:vAlign w:val="center"/>
          </w:tcPr>
          <w:p w14:paraId="2A773238"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24"</w:t>
            </w:r>
          </w:p>
        </w:tc>
        <w:tc>
          <w:tcPr>
            <w:tcW w:w="1199" w:type="dxa"/>
            <w:tcBorders>
              <w:top w:val="nil"/>
              <w:left w:val="nil"/>
              <w:bottom w:val="single" w:sz="4" w:space="0" w:color="000000"/>
              <w:right w:val="nil"/>
            </w:tcBorders>
            <w:vAlign w:val="center"/>
          </w:tcPr>
          <w:p w14:paraId="39CE583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24"</w:t>
            </w:r>
          </w:p>
        </w:tc>
        <w:tc>
          <w:tcPr>
            <w:tcW w:w="1456" w:type="dxa"/>
            <w:tcBorders>
              <w:top w:val="nil"/>
              <w:left w:val="nil"/>
              <w:bottom w:val="single" w:sz="4" w:space="0" w:color="000000"/>
              <w:right w:val="nil"/>
            </w:tcBorders>
            <w:vAlign w:val="center"/>
          </w:tcPr>
          <w:p w14:paraId="3C1B604B"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0149F212"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One plant enough. Like mint, can be invasive. Substitute for mint for more lemony taste - in tea, with fruit, fish, vegetables. </w:t>
            </w:r>
          </w:p>
        </w:tc>
      </w:tr>
      <w:tr w:rsidR="00CB2805" w14:paraId="4593C939" w14:textId="77777777">
        <w:trPr>
          <w:trHeight w:val="456"/>
        </w:trPr>
        <w:tc>
          <w:tcPr>
            <w:tcW w:w="1260" w:type="dxa"/>
            <w:tcBorders>
              <w:top w:val="nil"/>
              <w:left w:val="single" w:sz="8" w:space="0" w:color="000000"/>
              <w:bottom w:val="single" w:sz="4" w:space="0" w:color="000000"/>
              <w:right w:val="nil"/>
            </w:tcBorders>
            <w:vAlign w:val="center"/>
          </w:tcPr>
          <w:p w14:paraId="5F4F147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Lemon Verbena</w:t>
            </w:r>
          </w:p>
        </w:tc>
        <w:tc>
          <w:tcPr>
            <w:tcW w:w="991" w:type="dxa"/>
            <w:tcBorders>
              <w:top w:val="nil"/>
              <w:left w:val="nil"/>
              <w:bottom w:val="single" w:sz="4" w:space="0" w:color="000000"/>
              <w:right w:val="nil"/>
            </w:tcBorders>
            <w:vAlign w:val="center"/>
          </w:tcPr>
          <w:p w14:paraId="77D14CF1"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3381C020"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 Low</w:t>
            </w:r>
          </w:p>
        </w:tc>
        <w:tc>
          <w:tcPr>
            <w:tcW w:w="959" w:type="dxa"/>
            <w:tcBorders>
              <w:top w:val="nil"/>
              <w:left w:val="nil"/>
              <w:bottom w:val="single" w:sz="4" w:space="0" w:color="000000"/>
              <w:right w:val="nil"/>
            </w:tcBorders>
            <w:vAlign w:val="center"/>
          </w:tcPr>
          <w:p w14:paraId="13B447CC"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 Part shade</w:t>
            </w:r>
          </w:p>
        </w:tc>
        <w:tc>
          <w:tcPr>
            <w:tcW w:w="980" w:type="dxa"/>
            <w:tcBorders>
              <w:top w:val="nil"/>
              <w:left w:val="nil"/>
              <w:bottom w:val="single" w:sz="4" w:space="0" w:color="000000"/>
              <w:right w:val="nil"/>
            </w:tcBorders>
            <w:vAlign w:val="center"/>
          </w:tcPr>
          <w:p w14:paraId="06330B1F"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4 - 8 ft</w:t>
            </w:r>
          </w:p>
        </w:tc>
        <w:tc>
          <w:tcPr>
            <w:tcW w:w="1199" w:type="dxa"/>
            <w:tcBorders>
              <w:top w:val="nil"/>
              <w:left w:val="nil"/>
              <w:bottom w:val="single" w:sz="4" w:space="0" w:color="000000"/>
              <w:right w:val="nil"/>
            </w:tcBorders>
            <w:vAlign w:val="center"/>
          </w:tcPr>
          <w:p w14:paraId="6F3E459A"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4 ft</w:t>
            </w:r>
          </w:p>
        </w:tc>
        <w:tc>
          <w:tcPr>
            <w:tcW w:w="1456" w:type="dxa"/>
            <w:tcBorders>
              <w:top w:val="nil"/>
              <w:left w:val="nil"/>
              <w:bottom w:val="single" w:sz="4" w:space="0" w:color="000000"/>
              <w:right w:val="nil"/>
            </w:tcBorders>
            <w:vAlign w:val="center"/>
          </w:tcPr>
          <w:p w14:paraId="43011EA1"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1D00DFBB" w14:textId="77777777" w:rsidR="00CB2805" w:rsidRDefault="00000000">
            <w:pPr>
              <w:ind w:left="0" w:hanging="2"/>
              <w:rPr>
                <w:rFonts w:ascii="Arial" w:eastAsia="Arial" w:hAnsi="Arial" w:cs="Arial"/>
                <w:sz w:val="17"/>
                <w:szCs w:val="17"/>
              </w:rPr>
            </w:pPr>
            <w:r>
              <w:rPr>
                <w:rFonts w:ascii="Arial" w:eastAsia="Arial" w:hAnsi="Arial" w:cs="Arial"/>
                <w:sz w:val="17"/>
                <w:szCs w:val="17"/>
              </w:rPr>
              <w:t>Becomes a large shrub, can control size with heavy pruning in early spring. Use for teas, with fruit, fish and poultry. Dries well.</w:t>
            </w:r>
          </w:p>
        </w:tc>
      </w:tr>
      <w:tr w:rsidR="00CB2805" w14:paraId="1B34413E" w14:textId="77777777">
        <w:trPr>
          <w:trHeight w:val="684"/>
        </w:trPr>
        <w:tc>
          <w:tcPr>
            <w:tcW w:w="1260" w:type="dxa"/>
            <w:tcBorders>
              <w:top w:val="nil"/>
              <w:left w:val="single" w:sz="8" w:space="0" w:color="000000"/>
              <w:bottom w:val="single" w:sz="4" w:space="0" w:color="000000"/>
              <w:right w:val="nil"/>
            </w:tcBorders>
            <w:vAlign w:val="center"/>
          </w:tcPr>
          <w:p w14:paraId="519B63B3"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Lovage</w:t>
            </w:r>
          </w:p>
        </w:tc>
        <w:tc>
          <w:tcPr>
            <w:tcW w:w="991" w:type="dxa"/>
            <w:tcBorders>
              <w:top w:val="nil"/>
              <w:left w:val="nil"/>
              <w:bottom w:val="single" w:sz="4" w:space="0" w:color="000000"/>
              <w:right w:val="nil"/>
            </w:tcBorders>
            <w:vAlign w:val="center"/>
          </w:tcPr>
          <w:p w14:paraId="514CBB9E"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07C68454"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w:t>
            </w:r>
          </w:p>
        </w:tc>
        <w:tc>
          <w:tcPr>
            <w:tcW w:w="959" w:type="dxa"/>
            <w:tcBorders>
              <w:top w:val="nil"/>
              <w:left w:val="nil"/>
              <w:bottom w:val="single" w:sz="4" w:space="0" w:color="000000"/>
              <w:right w:val="nil"/>
            </w:tcBorders>
            <w:vAlign w:val="center"/>
          </w:tcPr>
          <w:p w14:paraId="65CF3B84"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Part shade</w:t>
            </w:r>
          </w:p>
        </w:tc>
        <w:tc>
          <w:tcPr>
            <w:tcW w:w="980" w:type="dxa"/>
            <w:tcBorders>
              <w:top w:val="nil"/>
              <w:left w:val="nil"/>
              <w:bottom w:val="single" w:sz="4" w:space="0" w:color="000000"/>
              <w:right w:val="nil"/>
            </w:tcBorders>
            <w:vAlign w:val="center"/>
          </w:tcPr>
          <w:p w14:paraId="5A2B2F36"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3 - 5 ft</w:t>
            </w:r>
          </w:p>
        </w:tc>
        <w:tc>
          <w:tcPr>
            <w:tcW w:w="1199" w:type="dxa"/>
            <w:tcBorders>
              <w:top w:val="nil"/>
              <w:left w:val="nil"/>
              <w:bottom w:val="single" w:sz="4" w:space="0" w:color="000000"/>
              <w:right w:val="nil"/>
            </w:tcBorders>
            <w:vAlign w:val="center"/>
          </w:tcPr>
          <w:p w14:paraId="45BF18E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3 ft</w:t>
            </w:r>
          </w:p>
        </w:tc>
        <w:tc>
          <w:tcPr>
            <w:tcW w:w="1456" w:type="dxa"/>
            <w:tcBorders>
              <w:top w:val="nil"/>
              <w:left w:val="nil"/>
              <w:bottom w:val="single" w:sz="4" w:space="0" w:color="000000"/>
              <w:right w:val="nil"/>
            </w:tcBorders>
            <w:vAlign w:val="center"/>
          </w:tcPr>
          <w:p w14:paraId="4F2B8ADF"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547B59E3" w14:textId="77777777" w:rsidR="00CB2805" w:rsidRDefault="00000000">
            <w:pPr>
              <w:ind w:left="0" w:hanging="2"/>
              <w:rPr>
                <w:rFonts w:ascii="Arial" w:eastAsia="Arial" w:hAnsi="Arial" w:cs="Arial"/>
                <w:sz w:val="17"/>
                <w:szCs w:val="17"/>
              </w:rPr>
            </w:pPr>
            <w:r>
              <w:rPr>
                <w:rFonts w:ascii="Arial" w:eastAsia="Arial" w:hAnsi="Arial" w:cs="Arial"/>
                <w:sz w:val="17"/>
                <w:szCs w:val="17"/>
              </w:rPr>
              <w:t>One plant is enough! Dies to ground in winter, then sends up leaves and stalk in spring, grows rapidly. Leaves and hollow stalk have celery like flavor - sections of stalk can be used as straws</w:t>
            </w:r>
          </w:p>
        </w:tc>
      </w:tr>
      <w:tr w:rsidR="00CB2805" w14:paraId="1641F96E" w14:textId="77777777">
        <w:trPr>
          <w:trHeight w:val="684"/>
        </w:trPr>
        <w:tc>
          <w:tcPr>
            <w:tcW w:w="1260" w:type="dxa"/>
            <w:tcBorders>
              <w:top w:val="nil"/>
              <w:left w:val="single" w:sz="8" w:space="0" w:color="000000"/>
              <w:bottom w:val="single" w:sz="4" w:space="0" w:color="000000"/>
              <w:right w:val="nil"/>
            </w:tcBorders>
            <w:vAlign w:val="center"/>
          </w:tcPr>
          <w:p w14:paraId="3EB7B0F4"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Marjoram</w:t>
            </w:r>
          </w:p>
        </w:tc>
        <w:tc>
          <w:tcPr>
            <w:tcW w:w="991" w:type="dxa"/>
            <w:tcBorders>
              <w:top w:val="nil"/>
              <w:left w:val="nil"/>
              <w:bottom w:val="single" w:sz="4" w:space="0" w:color="000000"/>
              <w:right w:val="nil"/>
            </w:tcBorders>
            <w:vAlign w:val="center"/>
          </w:tcPr>
          <w:p w14:paraId="280C5AC8"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7D0371D6"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 Low</w:t>
            </w:r>
          </w:p>
        </w:tc>
        <w:tc>
          <w:tcPr>
            <w:tcW w:w="959" w:type="dxa"/>
            <w:tcBorders>
              <w:top w:val="nil"/>
              <w:left w:val="nil"/>
              <w:bottom w:val="single" w:sz="4" w:space="0" w:color="000000"/>
              <w:right w:val="nil"/>
            </w:tcBorders>
            <w:vAlign w:val="center"/>
          </w:tcPr>
          <w:p w14:paraId="08330E04"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w:t>
            </w:r>
          </w:p>
        </w:tc>
        <w:tc>
          <w:tcPr>
            <w:tcW w:w="980" w:type="dxa"/>
            <w:tcBorders>
              <w:top w:val="nil"/>
              <w:left w:val="nil"/>
              <w:bottom w:val="single" w:sz="4" w:space="0" w:color="000000"/>
              <w:right w:val="nil"/>
            </w:tcBorders>
            <w:vAlign w:val="center"/>
          </w:tcPr>
          <w:p w14:paraId="29AD58E4"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12"</w:t>
            </w:r>
          </w:p>
        </w:tc>
        <w:tc>
          <w:tcPr>
            <w:tcW w:w="1199" w:type="dxa"/>
            <w:tcBorders>
              <w:top w:val="nil"/>
              <w:left w:val="nil"/>
              <w:bottom w:val="single" w:sz="4" w:space="0" w:color="000000"/>
              <w:right w:val="nil"/>
            </w:tcBorders>
            <w:vAlign w:val="center"/>
          </w:tcPr>
          <w:p w14:paraId="7A37E776"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12"</w:t>
            </w:r>
          </w:p>
        </w:tc>
        <w:tc>
          <w:tcPr>
            <w:tcW w:w="1456" w:type="dxa"/>
            <w:tcBorders>
              <w:top w:val="nil"/>
              <w:left w:val="nil"/>
              <w:bottom w:val="single" w:sz="4" w:space="0" w:color="000000"/>
              <w:right w:val="nil"/>
            </w:tcBorders>
            <w:vAlign w:val="center"/>
          </w:tcPr>
          <w:p w14:paraId="4DB78264"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14121F28"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Needs good drainage; good for containers. Look for true marjoram, Origanum </w:t>
            </w:r>
            <w:proofErr w:type="spellStart"/>
            <w:r>
              <w:rPr>
                <w:rFonts w:ascii="Arial" w:eastAsia="Arial" w:hAnsi="Arial" w:cs="Arial"/>
                <w:sz w:val="17"/>
                <w:szCs w:val="17"/>
              </w:rPr>
              <w:t>majorana</w:t>
            </w:r>
            <w:proofErr w:type="spellEnd"/>
            <w:r>
              <w:rPr>
                <w:rFonts w:ascii="Arial" w:eastAsia="Arial" w:hAnsi="Arial" w:cs="Arial"/>
                <w:sz w:val="17"/>
                <w:szCs w:val="17"/>
              </w:rPr>
              <w:t>. Sweeter and milder, as well as smaller, than closely related oregano but similar uses.</w:t>
            </w:r>
          </w:p>
        </w:tc>
      </w:tr>
      <w:tr w:rsidR="00CB2805" w14:paraId="340A46B4" w14:textId="77777777">
        <w:trPr>
          <w:trHeight w:val="1140"/>
        </w:trPr>
        <w:tc>
          <w:tcPr>
            <w:tcW w:w="1260" w:type="dxa"/>
            <w:tcBorders>
              <w:top w:val="nil"/>
              <w:left w:val="single" w:sz="8" w:space="0" w:color="000000"/>
              <w:bottom w:val="single" w:sz="4" w:space="0" w:color="000000"/>
              <w:right w:val="nil"/>
            </w:tcBorders>
            <w:vAlign w:val="center"/>
          </w:tcPr>
          <w:p w14:paraId="7C0AB7C4"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Mint</w:t>
            </w:r>
          </w:p>
        </w:tc>
        <w:tc>
          <w:tcPr>
            <w:tcW w:w="991" w:type="dxa"/>
            <w:tcBorders>
              <w:top w:val="nil"/>
              <w:left w:val="nil"/>
              <w:bottom w:val="single" w:sz="4" w:space="0" w:color="000000"/>
              <w:right w:val="nil"/>
            </w:tcBorders>
            <w:vAlign w:val="center"/>
          </w:tcPr>
          <w:p w14:paraId="4238CCFE"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181D109B"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 High</w:t>
            </w:r>
          </w:p>
        </w:tc>
        <w:tc>
          <w:tcPr>
            <w:tcW w:w="959" w:type="dxa"/>
            <w:tcBorders>
              <w:top w:val="nil"/>
              <w:left w:val="nil"/>
              <w:bottom w:val="single" w:sz="4" w:space="0" w:color="000000"/>
              <w:right w:val="nil"/>
            </w:tcBorders>
            <w:vAlign w:val="center"/>
          </w:tcPr>
          <w:p w14:paraId="2E12C61A"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Part shade</w:t>
            </w:r>
          </w:p>
        </w:tc>
        <w:tc>
          <w:tcPr>
            <w:tcW w:w="980" w:type="dxa"/>
            <w:tcBorders>
              <w:top w:val="nil"/>
              <w:left w:val="nil"/>
              <w:bottom w:val="single" w:sz="4" w:space="0" w:color="000000"/>
              <w:right w:val="nil"/>
            </w:tcBorders>
            <w:vAlign w:val="center"/>
          </w:tcPr>
          <w:p w14:paraId="2146AB57"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8 - 24"</w:t>
            </w:r>
          </w:p>
        </w:tc>
        <w:tc>
          <w:tcPr>
            <w:tcW w:w="1199" w:type="dxa"/>
            <w:tcBorders>
              <w:top w:val="nil"/>
              <w:left w:val="nil"/>
              <w:bottom w:val="single" w:sz="4" w:space="0" w:color="000000"/>
              <w:right w:val="nil"/>
            </w:tcBorders>
            <w:vAlign w:val="center"/>
          </w:tcPr>
          <w:p w14:paraId="2F27DE8E"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24"</w:t>
            </w:r>
          </w:p>
        </w:tc>
        <w:tc>
          <w:tcPr>
            <w:tcW w:w="1456" w:type="dxa"/>
            <w:tcBorders>
              <w:top w:val="nil"/>
              <w:left w:val="nil"/>
              <w:bottom w:val="single" w:sz="4" w:space="0" w:color="000000"/>
              <w:right w:val="nil"/>
            </w:tcBorders>
            <w:vAlign w:val="center"/>
          </w:tcPr>
          <w:p w14:paraId="2791BF09"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1D5A80C2" w14:textId="77777777" w:rsidR="00CB2805" w:rsidRDefault="00000000">
            <w:pPr>
              <w:ind w:left="0" w:hanging="2"/>
              <w:rPr>
                <w:rFonts w:ascii="Arial" w:eastAsia="Arial" w:hAnsi="Arial" w:cs="Arial"/>
                <w:sz w:val="17"/>
                <w:szCs w:val="17"/>
              </w:rPr>
            </w:pPr>
            <w:r>
              <w:rPr>
                <w:rFonts w:ascii="Arial" w:eastAsia="Arial" w:hAnsi="Arial" w:cs="Arial"/>
                <w:sz w:val="17"/>
                <w:szCs w:val="17"/>
              </w:rPr>
              <w:t>Spreads aggressively via underground stems- place 18" deep barrier around mint bed or keep in containers at least 10" in diameter. Can be divided. Fertilize occasionally. Prune back flowering stems. Most varieties die back in winter, new flush in spring. Favorite varieties: spearmint, peppermint, bergamot, apple, chocolate, many others. Use in teas, savory and sweet dishes. Dries well.</w:t>
            </w:r>
          </w:p>
        </w:tc>
      </w:tr>
      <w:tr w:rsidR="00CB2805" w14:paraId="63BD5992" w14:textId="77777777">
        <w:trPr>
          <w:trHeight w:val="912"/>
        </w:trPr>
        <w:tc>
          <w:tcPr>
            <w:tcW w:w="1260" w:type="dxa"/>
            <w:tcBorders>
              <w:top w:val="nil"/>
              <w:left w:val="single" w:sz="8" w:space="0" w:color="000000"/>
              <w:bottom w:val="single" w:sz="4" w:space="0" w:color="000000"/>
              <w:right w:val="nil"/>
            </w:tcBorders>
            <w:vAlign w:val="center"/>
          </w:tcPr>
          <w:p w14:paraId="09473206"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Oregano</w:t>
            </w:r>
          </w:p>
        </w:tc>
        <w:tc>
          <w:tcPr>
            <w:tcW w:w="991" w:type="dxa"/>
            <w:tcBorders>
              <w:top w:val="nil"/>
              <w:left w:val="nil"/>
              <w:bottom w:val="single" w:sz="4" w:space="0" w:color="000000"/>
              <w:right w:val="nil"/>
            </w:tcBorders>
            <w:vAlign w:val="center"/>
          </w:tcPr>
          <w:p w14:paraId="0B56C05D"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1A1E5B65"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Low</w:t>
            </w:r>
          </w:p>
        </w:tc>
        <w:tc>
          <w:tcPr>
            <w:tcW w:w="959" w:type="dxa"/>
            <w:tcBorders>
              <w:top w:val="nil"/>
              <w:left w:val="nil"/>
              <w:bottom w:val="single" w:sz="4" w:space="0" w:color="000000"/>
              <w:right w:val="nil"/>
            </w:tcBorders>
            <w:vAlign w:val="center"/>
          </w:tcPr>
          <w:p w14:paraId="19A50098"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w:t>
            </w:r>
          </w:p>
        </w:tc>
        <w:tc>
          <w:tcPr>
            <w:tcW w:w="980" w:type="dxa"/>
            <w:tcBorders>
              <w:top w:val="nil"/>
              <w:left w:val="nil"/>
              <w:bottom w:val="single" w:sz="4" w:space="0" w:color="000000"/>
              <w:right w:val="nil"/>
            </w:tcBorders>
            <w:vAlign w:val="center"/>
          </w:tcPr>
          <w:p w14:paraId="6A1484F5"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24"</w:t>
            </w:r>
          </w:p>
        </w:tc>
        <w:tc>
          <w:tcPr>
            <w:tcW w:w="1199" w:type="dxa"/>
            <w:tcBorders>
              <w:top w:val="nil"/>
              <w:left w:val="nil"/>
              <w:bottom w:val="single" w:sz="4" w:space="0" w:color="000000"/>
              <w:right w:val="nil"/>
            </w:tcBorders>
            <w:vAlign w:val="center"/>
          </w:tcPr>
          <w:p w14:paraId="303D9E9F"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12 - 24"</w:t>
            </w:r>
          </w:p>
        </w:tc>
        <w:tc>
          <w:tcPr>
            <w:tcW w:w="1456" w:type="dxa"/>
            <w:tcBorders>
              <w:top w:val="nil"/>
              <w:left w:val="nil"/>
              <w:bottom w:val="single" w:sz="4" w:space="0" w:color="000000"/>
              <w:right w:val="nil"/>
            </w:tcBorders>
            <w:vAlign w:val="center"/>
          </w:tcPr>
          <w:p w14:paraId="46FAF7A7"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24FB9CDC"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Needs excellent </w:t>
            </w:r>
            <w:proofErr w:type="gramStart"/>
            <w:r>
              <w:rPr>
                <w:rFonts w:ascii="Arial" w:eastAsia="Arial" w:hAnsi="Arial" w:cs="Arial"/>
                <w:sz w:val="17"/>
                <w:szCs w:val="17"/>
              </w:rPr>
              <w:t>drainage,  prune</w:t>
            </w:r>
            <w:proofErr w:type="gramEnd"/>
            <w:r>
              <w:rPr>
                <w:rFonts w:ascii="Arial" w:eastAsia="Arial" w:hAnsi="Arial" w:cs="Arial"/>
                <w:sz w:val="17"/>
                <w:szCs w:val="17"/>
              </w:rPr>
              <w:t xml:space="preserve"> off spent flower stems. Smaller varieties good for containers and rock gardens. Several different species sold as oregano. Smell and/or taste before buying. Italian, Greek, Sicilian, Syrian -- all differ, all good. Dries well, flavor stands up to cooking.</w:t>
            </w:r>
          </w:p>
        </w:tc>
      </w:tr>
      <w:tr w:rsidR="00CB2805" w14:paraId="57683B93" w14:textId="77777777">
        <w:trPr>
          <w:trHeight w:val="684"/>
        </w:trPr>
        <w:tc>
          <w:tcPr>
            <w:tcW w:w="1260" w:type="dxa"/>
            <w:tcBorders>
              <w:top w:val="nil"/>
              <w:left w:val="single" w:sz="8" w:space="0" w:color="000000"/>
              <w:bottom w:val="single" w:sz="4" w:space="0" w:color="000000"/>
              <w:right w:val="nil"/>
            </w:tcBorders>
            <w:vAlign w:val="center"/>
          </w:tcPr>
          <w:p w14:paraId="722211F9"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Parsley</w:t>
            </w:r>
          </w:p>
        </w:tc>
        <w:tc>
          <w:tcPr>
            <w:tcW w:w="991" w:type="dxa"/>
            <w:tcBorders>
              <w:top w:val="nil"/>
              <w:left w:val="nil"/>
              <w:bottom w:val="single" w:sz="4" w:space="0" w:color="000000"/>
              <w:right w:val="nil"/>
            </w:tcBorders>
            <w:vAlign w:val="center"/>
          </w:tcPr>
          <w:p w14:paraId="201878CB"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Biennial</w:t>
            </w:r>
          </w:p>
        </w:tc>
        <w:tc>
          <w:tcPr>
            <w:tcW w:w="980" w:type="dxa"/>
            <w:tcBorders>
              <w:top w:val="nil"/>
              <w:left w:val="nil"/>
              <w:bottom w:val="single" w:sz="4" w:space="0" w:color="000000"/>
              <w:right w:val="nil"/>
            </w:tcBorders>
            <w:vAlign w:val="center"/>
          </w:tcPr>
          <w:p w14:paraId="65DEB69F"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w:t>
            </w:r>
          </w:p>
        </w:tc>
        <w:tc>
          <w:tcPr>
            <w:tcW w:w="959" w:type="dxa"/>
            <w:tcBorders>
              <w:top w:val="nil"/>
              <w:left w:val="nil"/>
              <w:bottom w:val="single" w:sz="4" w:space="0" w:color="000000"/>
              <w:right w:val="nil"/>
            </w:tcBorders>
            <w:vAlign w:val="center"/>
          </w:tcPr>
          <w:p w14:paraId="2C10D86A"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Part shade</w:t>
            </w:r>
          </w:p>
        </w:tc>
        <w:tc>
          <w:tcPr>
            <w:tcW w:w="980" w:type="dxa"/>
            <w:tcBorders>
              <w:top w:val="nil"/>
              <w:left w:val="nil"/>
              <w:bottom w:val="single" w:sz="4" w:space="0" w:color="000000"/>
              <w:right w:val="nil"/>
            </w:tcBorders>
            <w:vAlign w:val="center"/>
          </w:tcPr>
          <w:p w14:paraId="1D4B2E81"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12 - 18"</w:t>
            </w:r>
          </w:p>
        </w:tc>
        <w:tc>
          <w:tcPr>
            <w:tcW w:w="1199" w:type="dxa"/>
            <w:tcBorders>
              <w:top w:val="nil"/>
              <w:left w:val="nil"/>
              <w:bottom w:val="single" w:sz="4" w:space="0" w:color="000000"/>
              <w:right w:val="nil"/>
            </w:tcBorders>
            <w:vAlign w:val="center"/>
          </w:tcPr>
          <w:p w14:paraId="6843D617"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8 - 12"</w:t>
            </w:r>
          </w:p>
        </w:tc>
        <w:tc>
          <w:tcPr>
            <w:tcW w:w="1456" w:type="dxa"/>
            <w:tcBorders>
              <w:top w:val="nil"/>
              <w:left w:val="nil"/>
              <w:bottom w:val="single" w:sz="4" w:space="0" w:color="000000"/>
              <w:right w:val="nil"/>
            </w:tcBorders>
            <w:vAlign w:val="center"/>
          </w:tcPr>
          <w:p w14:paraId="0D791849"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79A55985"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Can be direct seeded, but germination very slow, goes to seed in spring of second year, then dies; best to plant annually. Favorite varieties: Italian Flat Leaf, Moss Curled. Seasoning and salad herb; part of classic </w:t>
            </w:r>
            <w:proofErr w:type="spellStart"/>
            <w:r>
              <w:rPr>
                <w:rFonts w:ascii="Arial" w:eastAsia="Arial" w:hAnsi="Arial" w:cs="Arial"/>
                <w:sz w:val="17"/>
                <w:szCs w:val="17"/>
              </w:rPr>
              <w:t>bouqet</w:t>
            </w:r>
            <w:proofErr w:type="spellEnd"/>
            <w:r>
              <w:rPr>
                <w:rFonts w:ascii="Arial" w:eastAsia="Arial" w:hAnsi="Arial" w:cs="Arial"/>
                <w:sz w:val="17"/>
                <w:szCs w:val="17"/>
              </w:rPr>
              <w:t xml:space="preserve"> garni.</w:t>
            </w:r>
          </w:p>
        </w:tc>
      </w:tr>
      <w:tr w:rsidR="00CB2805" w14:paraId="38312EC3" w14:textId="77777777">
        <w:trPr>
          <w:trHeight w:val="1140"/>
        </w:trPr>
        <w:tc>
          <w:tcPr>
            <w:tcW w:w="1260" w:type="dxa"/>
            <w:tcBorders>
              <w:top w:val="nil"/>
              <w:left w:val="single" w:sz="8" w:space="0" w:color="000000"/>
              <w:bottom w:val="single" w:sz="4" w:space="0" w:color="000000"/>
              <w:right w:val="nil"/>
            </w:tcBorders>
            <w:vAlign w:val="center"/>
          </w:tcPr>
          <w:p w14:paraId="54C264C5"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Rosemary</w:t>
            </w:r>
          </w:p>
        </w:tc>
        <w:tc>
          <w:tcPr>
            <w:tcW w:w="991" w:type="dxa"/>
            <w:tcBorders>
              <w:top w:val="nil"/>
              <w:left w:val="nil"/>
              <w:bottom w:val="single" w:sz="4" w:space="0" w:color="000000"/>
              <w:right w:val="nil"/>
            </w:tcBorders>
            <w:vAlign w:val="center"/>
          </w:tcPr>
          <w:p w14:paraId="40A0C8C3"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7342A998"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Very low</w:t>
            </w:r>
          </w:p>
        </w:tc>
        <w:tc>
          <w:tcPr>
            <w:tcW w:w="959" w:type="dxa"/>
            <w:tcBorders>
              <w:top w:val="nil"/>
              <w:left w:val="nil"/>
              <w:bottom w:val="single" w:sz="4" w:space="0" w:color="000000"/>
              <w:right w:val="nil"/>
            </w:tcBorders>
            <w:vAlign w:val="center"/>
          </w:tcPr>
          <w:p w14:paraId="5F71145E"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w:t>
            </w:r>
          </w:p>
        </w:tc>
        <w:tc>
          <w:tcPr>
            <w:tcW w:w="980" w:type="dxa"/>
            <w:tcBorders>
              <w:top w:val="nil"/>
              <w:left w:val="nil"/>
              <w:bottom w:val="single" w:sz="4" w:space="0" w:color="000000"/>
              <w:right w:val="nil"/>
            </w:tcBorders>
            <w:vAlign w:val="center"/>
          </w:tcPr>
          <w:p w14:paraId="10274693"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2 - 6 ft</w:t>
            </w:r>
          </w:p>
        </w:tc>
        <w:tc>
          <w:tcPr>
            <w:tcW w:w="1199" w:type="dxa"/>
            <w:tcBorders>
              <w:top w:val="nil"/>
              <w:left w:val="nil"/>
              <w:bottom w:val="single" w:sz="4" w:space="0" w:color="000000"/>
              <w:right w:val="nil"/>
            </w:tcBorders>
            <w:vAlign w:val="center"/>
          </w:tcPr>
          <w:p w14:paraId="4DCB2282"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2 - 8 ft</w:t>
            </w:r>
          </w:p>
        </w:tc>
        <w:tc>
          <w:tcPr>
            <w:tcW w:w="1456" w:type="dxa"/>
            <w:tcBorders>
              <w:top w:val="nil"/>
              <w:left w:val="nil"/>
              <w:bottom w:val="single" w:sz="4" w:space="0" w:color="000000"/>
              <w:right w:val="nil"/>
            </w:tcBorders>
            <w:vAlign w:val="center"/>
          </w:tcPr>
          <w:p w14:paraId="04F7BC68"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2F0399D4" w14:textId="77777777" w:rsidR="00CB2805" w:rsidRDefault="00000000">
            <w:pPr>
              <w:ind w:left="0" w:hanging="2"/>
              <w:rPr>
                <w:rFonts w:ascii="Arial" w:eastAsia="Arial" w:hAnsi="Arial" w:cs="Arial"/>
                <w:sz w:val="17"/>
                <w:szCs w:val="17"/>
              </w:rPr>
            </w:pPr>
            <w:r>
              <w:rPr>
                <w:rFonts w:ascii="Arial" w:eastAsia="Arial" w:hAnsi="Arial" w:cs="Arial"/>
                <w:sz w:val="17"/>
                <w:szCs w:val="17"/>
              </w:rPr>
              <w:t>One plant enough for culinary purposes. Needs excellent drainage, good for containers. Favorite varieties: Tuscan blue, Majorca Pink. Smell and/or taste before purchasing a variety; some varieties too resinous for culinary use. Strip leaves from stem and chop or use whole sprig and remove before serving; use with fish, meats, breads, vegetables. Dries well.</w:t>
            </w:r>
          </w:p>
        </w:tc>
      </w:tr>
      <w:tr w:rsidR="00CB2805" w14:paraId="2C1D9D82" w14:textId="77777777">
        <w:trPr>
          <w:trHeight w:val="1140"/>
        </w:trPr>
        <w:tc>
          <w:tcPr>
            <w:tcW w:w="1260" w:type="dxa"/>
            <w:tcBorders>
              <w:top w:val="nil"/>
              <w:left w:val="single" w:sz="8" w:space="0" w:color="000000"/>
              <w:bottom w:val="single" w:sz="4" w:space="0" w:color="000000"/>
              <w:right w:val="nil"/>
            </w:tcBorders>
            <w:vAlign w:val="center"/>
          </w:tcPr>
          <w:p w14:paraId="51DBB306"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lastRenderedPageBreak/>
              <w:t>Sage</w:t>
            </w:r>
          </w:p>
        </w:tc>
        <w:tc>
          <w:tcPr>
            <w:tcW w:w="991" w:type="dxa"/>
            <w:tcBorders>
              <w:top w:val="nil"/>
              <w:left w:val="nil"/>
              <w:bottom w:val="single" w:sz="4" w:space="0" w:color="000000"/>
              <w:right w:val="nil"/>
            </w:tcBorders>
            <w:vAlign w:val="center"/>
          </w:tcPr>
          <w:p w14:paraId="746FD241"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00E20918"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Low</w:t>
            </w:r>
          </w:p>
        </w:tc>
        <w:tc>
          <w:tcPr>
            <w:tcW w:w="959" w:type="dxa"/>
            <w:tcBorders>
              <w:top w:val="nil"/>
              <w:left w:val="nil"/>
              <w:bottom w:val="single" w:sz="4" w:space="0" w:color="000000"/>
              <w:right w:val="nil"/>
            </w:tcBorders>
            <w:vAlign w:val="center"/>
          </w:tcPr>
          <w:p w14:paraId="7A838C65"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w:t>
            </w:r>
          </w:p>
        </w:tc>
        <w:tc>
          <w:tcPr>
            <w:tcW w:w="980" w:type="dxa"/>
            <w:tcBorders>
              <w:top w:val="nil"/>
              <w:left w:val="nil"/>
              <w:bottom w:val="single" w:sz="4" w:space="0" w:color="000000"/>
              <w:right w:val="nil"/>
            </w:tcBorders>
            <w:vAlign w:val="center"/>
          </w:tcPr>
          <w:p w14:paraId="23AE051E"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18 - 30"</w:t>
            </w:r>
          </w:p>
        </w:tc>
        <w:tc>
          <w:tcPr>
            <w:tcW w:w="1199" w:type="dxa"/>
            <w:tcBorders>
              <w:top w:val="nil"/>
              <w:left w:val="nil"/>
              <w:bottom w:val="single" w:sz="4" w:space="0" w:color="000000"/>
              <w:right w:val="nil"/>
            </w:tcBorders>
            <w:vAlign w:val="center"/>
          </w:tcPr>
          <w:p w14:paraId="660709AB"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24"</w:t>
            </w:r>
          </w:p>
        </w:tc>
        <w:tc>
          <w:tcPr>
            <w:tcW w:w="1456" w:type="dxa"/>
            <w:tcBorders>
              <w:top w:val="nil"/>
              <w:left w:val="nil"/>
              <w:bottom w:val="single" w:sz="4" w:space="0" w:color="000000"/>
              <w:right w:val="nil"/>
            </w:tcBorders>
            <w:vAlign w:val="center"/>
          </w:tcPr>
          <w:p w14:paraId="370AC0AF"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328ED211"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Needs excellent drainage - subject to root rot in wet winters. Prune back woody and flowering stems. Good for containers and rock garden. Buy Salvia Officinalis for culinary purposes. Recommended varieties include </w:t>
            </w:r>
            <w:proofErr w:type="spellStart"/>
            <w:r>
              <w:rPr>
                <w:rFonts w:ascii="Arial" w:eastAsia="Arial" w:hAnsi="Arial" w:cs="Arial"/>
                <w:sz w:val="17"/>
                <w:szCs w:val="17"/>
              </w:rPr>
              <w:t>Berggarten</w:t>
            </w:r>
            <w:proofErr w:type="spellEnd"/>
            <w:r>
              <w:rPr>
                <w:rFonts w:ascii="Arial" w:eastAsia="Arial" w:hAnsi="Arial" w:cs="Arial"/>
                <w:sz w:val="17"/>
                <w:szCs w:val="17"/>
              </w:rPr>
              <w:t>, Tricolor, Purple, Golden. Used with meats, poultry, potatoes, bread, beans, etc. Flavor holds up to cooking and dries well.</w:t>
            </w:r>
          </w:p>
        </w:tc>
      </w:tr>
      <w:tr w:rsidR="00CB2805" w14:paraId="373C3D13" w14:textId="77777777">
        <w:trPr>
          <w:trHeight w:val="456"/>
        </w:trPr>
        <w:tc>
          <w:tcPr>
            <w:tcW w:w="1260" w:type="dxa"/>
            <w:tcBorders>
              <w:top w:val="nil"/>
              <w:left w:val="single" w:sz="8" w:space="0" w:color="000000"/>
              <w:bottom w:val="single" w:sz="4" w:space="0" w:color="000000"/>
              <w:right w:val="nil"/>
            </w:tcBorders>
            <w:vAlign w:val="center"/>
          </w:tcPr>
          <w:p w14:paraId="07305B12"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Savory, Summer</w:t>
            </w:r>
          </w:p>
        </w:tc>
        <w:tc>
          <w:tcPr>
            <w:tcW w:w="991" w:type="dxa"/>
            <w:tcBorders>
              <w:top w:val="nil"/>
              <w:left w:val="nil"/>
              <w:bottom w:val="single" w:sz="4" w:space="0" w:color="000000"/>
              <w:right w:val="nil"/>
            </w:tcBorders>
            <w:vAlign w:val="center"/>
          </w:tcPr>
          <w:p w14:paraId="65228905"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Annual</w:t>
            </w:r>
          </w:p>
        </w:tc>
        <w:tc>
          <w:tcPr>
            <w:tcW w:w="980" w:type="dxa"/>
            <w:tcBorders>
              <w:top w:val="nil"/>
              <w:left w:val="nil"/>
              <w:bottom w:val="single" w:sz="4" w:space="0" w:color="000000"/>
              <w:right w:val="nil"/>
            </w:tcBorders>
            <w:vAlign w:val="center"/>
          </w:tcPr>
          <w:p w14:paraId="78EF6998"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w:t>
            </w:r>
          </w:p>
        </w:tc>
        <w:tc>
          <w:tcPr>
            <w:tcW w:w="959" w:type="dxa"/>
            <w:tcBorders>
              <w:top w:val="nil"/>
              <w:left w:val="nil"/>
              <w:bottom w:val="single" w:sz="4" w:space="0" w:color="000000"/>
              <w:right w:val="nil"/>
            </w:tcBorders>
            <w:vAlign w:val="center"/>
          </w:tcPr>
          <w:p w14:paraId="13B2D1D3"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 xml:space="preserve">Full sun </w:t>
            </w:r>
          </w:p>
        </w:tc>
        <w:tc>
          <w:tcPr>
            <w:tcW w:w="980" w:type="dxa"/>
            <w:tcBorders>
              <w:top w:val="nil"/>
              <w:left w:val="nil"/>
              <w:bottom w:val="single" w:sz="4" w:space="0" w:color="000000"/>
              <w:right w:val="nil"/>
            </w:tcBorders>
            <w:vAlign w:val="center"/>
          </w:tcPr>
          <w:p w14:paraId="4E284AD1"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12 - 18"</w:t>
            </w:r>
          </w:p>
        </w:tc>
        <w:tc>
          <w:tcPr>
            <w:tcW w:w="1199" w:type="dxa"/>
            <w:tcBorders>
              <w:top w:val="nil"/>
              <w:left w:val="nil"/>
              <w:bottom w:val="single" w:sz="4" w:space="0" w:color="000000"/>
              <w:right w:val="nil"/>
            </w:tcBorders>
            <w:vAlign w:val="center"/>
          </w:tcPr>
          <w:p w14:paraId="7ACB127B"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6"</w:t>
            </w:r>
          </w:p>
        </w:tc>
        <w:tc>
          <w:tcPr>
            <w:tcW w:w="1456" w:type="dxa"/>
            <w:tcBorders>
              <w:top w:val="nil"/>
              <w:left w:val="nil"/>
              <w:bottom w:val="single" w:sz="4" w:space="0" w:color="000000"/>
              <w:right w:val="nil"/>
            </w:tcBorders>
            <w:vAlign w:val="center"/>
          </w:tcPr>
          <w:p w14:paraId="5B9101BA" w14:textId="77777777" w:rsidR="00CB2805" w:rsidRDefault="00000000">
            <w:pPr>
              <w:ind w:left="0" w:hanging="2"/>
              <w:rPr>
                <w:rFonts w:ascii="Arial" w:eastAsia="Arial" w:hAnsi="Arial" w:cs="Arial"/>
                <w:sz w:val="17"/>
                <w:szCs w:val="17"/>
              </w:rPr>
            </w:pPr>
            <w:r>
              <w:rPr>
                <w:rFonts w:ascii="Arial" w:eastAsia="Arial" w:hAnsi="Arial" w:cs="Arial"/>
                <w:sz w:val="17"/>
                <w:szCs w:val="17"/>
              </w:rPr>
              <w:t>Direct seed</w:t>
            </w:r>
          </w:p>
        </w:tc>
        <w:tc>
          <w:tcPr>
            <w:tcW w:w="6355" w:type="dxa"/>
            <w:tcBorders>
              <w:top w:val="nil"/>
              <w:left w:val="nil"/>
              <w:bottom w:val="single" w:sz="4" w:space="0" w:color="000000"/>
              <w:right w:val="single" w:sz="8" w:space="0" w:color="000000"/>
            </w:tcBorders>
            <w:vAlign w:val="center"/>
          </w:tcPr>
          <w:p w14:paraId="64FC1EF3" w14:textId="77777777" w:rsidR="00CB2805" w:rsidRDefault="00000000">
            <w:pPr>
              <w:ind w:left="0" w:hanging="2"/>
              <w:rPr>
                <w:rFonts w:ascii="Arial" w:eastAsia="Arial" w:hAnsi="Arial" w:cs="Arial"/>
                <w:sz w:val="17"/>
                <w:szCs w:val="17"/>
              </w:rPr>
            </w:pPr>
            <w:r>
              <w:rPr>
                <w:rFonts w:ascii="Arial" w:eastAsia="Arial" w:hAnsi="Arial" w:cs="Arial"/>
                <w:sz w:val="17"/>
                <w:szCs w:val="17"/>
              </w:rPr>
              <w:t>Warm season herb, plant in spring. Classic use is with beans; dries well</w:t>
            </w:r>
          </w:p>
        </w:tc>
      </w:tr>
      <w:tr w:rsidR="00CB2805" w14:paraId="40109D89" w14:textId="77777777">
        <w:trPr>
          <w:trHeight w:val="912"/>
        </w:trPr>
        <w:tc>
          <w:tcPr>
            <w:tcW w:w="1260" w:type="dxa"/>
            <w:tcBorders>
              <w:top w:val="nil"/>
              <w:left w:val="single" w:sz="8" w:space="0" w:color="000000"/>
              <w:bottom w:val="single" w:sz="4" w:space="0" w:color="000000"/>
              <w:right w:val="nil"/>
            </w:tcBorders>
            <w:vAlign w:val="center"/>
          </w:tcPr>
          <w:p w14:paraId="1CFFD1DA"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Savory, Winter</w:t>
            </w:r>
          </w:p>
        </w:tc>
        <w:tc>
          <w:tcPr>
            <w:tcW w:w="991" w:type="dxa"/>
            <w:tcBorders>
              <w:top w:val="nil"/>
              <w:left w:val="nil"/>
              <w:bottom w:val="single" w:sz="4" w:space="0" w:color="000000"/>
              <w:right w:val="nil"/>
            </w:tcBorders>
            <w:vAlign w:val="center"/>
          </w:tcPr>
          <w:p w14:paraId="1D226AC5"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4C66C17C"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Low</w:t>
            </w:r>
          </w:p>
        </w:tc>
        <w:tc>
          <w:tcPr>
            <w:tcW w:w="959" w:type="dxa"/>
            <w:tcBorders>
              <w:top w:val="nil"/>
              <w:left w:val="nil"/>
              <w:bottom w:val="single" w:sz="4" w:space="0" w:color="000000"/>
              <w:right w:val="nil"/>
            </w:tcBorders>
            <w:vAlign w:val="center"/>
          </w:tcPr>
          <w:p w14:paraId="1D199B8C"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w:t>
            </w:r>
          </w:p>
        </w:tc>
        <w:tc>
          <w:tcPr>
            <w:tcW w:w="980" w:type="dxa"/>
            <w:tcBorders>
              <w:top w:val="nil"/>
              <w:left w:val="nil"/>
              <w:bottom w:val="single" w:sz="4" w:space="0" w:color="000000"/>
              <w:right w:val="nil"/>
            </w:tcBorders>
            <w:vAlign w:val="center"/>
          </w:tcPr>
          <w:p w14:paraId="7A711A1B"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9 - 12"</w:t>
            </w:r>
          </w:p>
        </w:tc>
        <w:tc>
          <w:tcPr>
            <w:tcW w:w="1199" w:type="dxa"/>
            <w:tcBorders>
              <w:top w:val="nil"/>
              <w:left w:val="nil"/>
              <w:bottom w:val="single" w:sz="4" w:space="0" w:color="000000"/>
              <w:right w:val="nil"/>
            </w:tcBorders>
            <w:vAlign w:val="center"/>
          </w:tcPr>
          <w:p w14:paraId="60036C40"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24"</w:t>
            </w:r>
          </w:p>
        </w:tc>
        <w:tc>
          <w:tcPr>
            <w:tcW w:w="1456" w:type="dxa"/>
            <w:tcBorders>
              <w:top w:val="nil"/>
              <w:left w:val="nil"/>
              <w:bottom w:val="single" w:sz="4" w:space="0" w:color="000000"/>
              <w:right w:val="nil"/>
            </w:tcBorders>
            <w:vAlign w:val="center"/>
          </w:tcPr>
          <w:p w14:paraId="7E5CC98F"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48AD6BE2"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Needs good drainage. Cut back occasionally. Life expectancy short, 3-4 years. Good for containers and rock garden. Favorite varieties: Winter savory, Creeping winter savory, </w:t>
            </w:r>
            <w:proofErr w:type="gramStart"/>
            <w:r>
              <w:rPr>
                <w:rFonts w:ascii="Arial" w:eastAsia="Arial" w:hAnsi="Arial" w:cs="Arial"/>
                <w:sz w:val="17"/>
                <w:szCs w:val="17"/>
              </w:rPr>
              <w:t>Pink</w:t>
            </w:r>
            <w:proofErr w:type="gramEnd"/>
            <w:r>
              <w:rPr>
                <w:rFonts w:ascii="Arial" w:eastAsia="Arial" w:hAnsi="Arial" w:cs="Arial"/>
                <w:sz w:val="17"/>
                <w:szCs w:val="17"/>
              </w:rPr>
              <w:t xml:space="preserve"> savory. Use in soups, stews, with beans. Stronger flavor than summer savory. Dries well.</w:t>
            </w:r>
          </w:p>
        </w:tc>
      </w:tr>
      <w:tr w:rsidR="00CB2805" w14:paraId="7D806A2F" w14:textId="77777777">
        <w:trPr>
          <w:trHeight w:val="912"/>
        </w:trPr>
        <w:tc>
          <w:tcPr>
            <w:tcW w:w="1260" w:type="dxa"/>
            <w:tcBorders>
              <w:top w:val="nil"/>
              <w:left w:val="single" w:sz="8" w:space="0" w:color="000000"/>
              <w:bottom w:val="single" w:sz="4" w:space="0" w:color="000000"/>
              <w:right w:val="nil"/>
            </w:tcBorders>
            <w:vAlign w:val="center"/>
          </w:tcPr>
          <w:p w14:paraId="587861D7"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Tarragon</w:t>
            </w:r>
          </w:p>
        </w:tc>
        <w:tc>
          <w:tcPr>
            <w:tcW w:w="991" w:type="dxa"/>
            <w:tcBorders>
              <w:top w:val="nil"/>
              <w:left w:val="nil"/>
              <w:bottom w:val="single" w:sz="4" w:space="0" w:color="000000"/>
              <w:right w:val="nil"/>
            </w:tcBorders>
            <w:vAlign w:val="center"/>
          </w:tcPr>
          <w:p w14:paraId="1D4E637A"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4" w:space="0" w:color="000000"/>
              <w:right w:val="nil"/>
            </w:tcBorders>
            <w:vAlign w:val="center"/>
          </w:tcPr>
          <w:p w14:paraId="634B0826"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Average</w:t>
            </w:r>
          </w:p>
        </w:tc>
        <w:tc>
          <w:tcPr>
            <w:tcW w:w="959" w:type="dxa"/>
            <w:tcBorders>
              <w:top w:val="nil"/>
              <w:left w:val="nil"/>
              <w:bottom w:val="single" w:sz="4" w:space="0" w:color="000000"/>
              <w:right w:val="nil"/>
            </w:tcBorders>
            <w:vAlign w:val="center"/>
          </w:tcPr>
          <w:p w14:paraId="508488EC"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 Part shade</w:t>
            </w:r>
          </w:p>
        </w:tc>
        <w:tc>
          <w:tcPr>
            <w:tcW w:w="980" w:type="dxa"/>
            <w:tcBorders>
              <w:top w:val="nil"/>
              <w:left w:val="nil"/>
              <w:bottom w:val="single" w:sz="4" w:space="0" w:color="000000"/>
              <w:right w:val="nil"/>
            </w:tcBorders>
            <w:vAlign w:val="center"/>
          </w:tcPr>
          <w:p w14:paraId="0785ADE3"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18 - 24"</w:t>
            </w:r>
          </w:p>
        </w:tc>
        <w:tc>
          <w:tcPr>
            <w:tcW w:w="1199" w:type="dxa"/>
            <w:tcBorders>
              <w:top w:val="nil"/>
              <w:left w:val="nil"/>
              <w:bottom w:val="single" w:sz="4" w:space="0" w:color="000000"/>
              <w:right w:val="nil"/>
            </w:tcBorders>
            <w:vAlign w:val="center"/>
          </w:tcPr>
          <w:p w14:paraId="2E6CA360"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24"</w:t>
            </w:r>
          </w:p>
        </w:tc>
        <w:tc>
          <w:tcPr>
            <w:tcW w:w="1456" w:type="dxa"/>
            <w:tcBorders>
              <w:top w:val="nil"/>
              <w:left w:val="nil"/>
              <w:bottom w:val="single" w:sz="4" w:space="0" w:color="000000"/>
              <w:right w:val="nil"/>
            </w:tcBorders>
            <w:vAlign w:val="center"/>
          </w:tcPr>
          <w:p w14:paraId="18C45F69"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4" w:space="0" w:color="000000"/>
              <w:right w:val="single" w:sz="8" w:space="0" w:color="000000"/>
            </w:tcBorders>
            <w:vAlign w:val="center"/>
          </w:tcPr>
          <w:p w14:paraId="408D0833"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Herbaceous perennial that dies back in winter, new shoots come up in early spring. Can be grown in container. Propagate by root division or cuttings; does not flower. </w:t>
            </w:r>
            <w:proofErr w:type="gramStart"/>
            <w:r>
              <w:rPr>
                <w:rFonts w:ascii="Arial" w:eastAsia="Arial" w:hAnsi="Arial" w:cs="Arial"/>
                <w:sz w:val="17"/>
                <w:szCs w:val="17"/>
              </w:rPr>
              <w:t>.Strip</w:t>
            </w:r>
            <w:proofErr w:type="gramEnd"/>
            <w:r>
              <w:rPr>
                <w:rFonts w:ascii="Arial" w:eastAsia="Arial" w:hAnsi="Arial" w:cs="Arial"/>
                <w:sz w:val="17"/>
                <w:szCs w:val="17"/>
              </w:rPr>
              <w:t xml:space="preserve"> leaves from stems before chopping. Good with fish, chicken, eggs, vegetables, salads; used to flavor vinegar.</w:t>
            </w:r>
          </w:p>
        </w:tc>
      </w:tr>
      <w:tr w:rsidR="00CB2805" w14:paraId="3CFB89BE" w14:textId="77777777">
        <w:trPr>
          <w:trHeight w:val="1152"/>
        </w:trPr>
        <w:tc>
          <w:tcPr>
            <w:tcW w:w="1260" w:type="dxa"/>
            <w:tcBorders>
              <w:top w:val="nil"/>
              <w:left w:val="single" w:sz="8" w:space="0" w:color="000000"/>
              <w:bottom w:val="single" w:sz="8" w:space="0" w:color="000000"/>
              <w:right w:val="nil"/>
            </w:tcBorders>
            <w:vAlign w:val="center"/>
          </w:tcPr>
          <w:p w14:paraId="42768F3A"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Thyme</w:t>
            </w:r>
          </w:p>
        </w:tc>
        <w:tc>
          <w:tcPr>
            <w:tcW w:w="991" w:type="dxa"/>
            <w:tcBorders>
              <w:top w:val="nil"/>
              <w:left w:val="nil"/>
              <w:bottom w:val="single" w:sz="8" w:space="0" w:color="000000"/>
              <w:right w:val="nil"/>
            </w:tcBorders>
            <w:vAlign w:val="center"/>
          </w:tcPr>
          <w:p w14:paraId="59616B2D"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Perennial</w:t>
            </w:r>
          </w:p>
        </w:tc>
        <w:tc>
          <w:tcPr>
            <w:tcW w:w="980" w:type="dxa"/>
            <w:tcBorders>
              <w:top w:val="nil"/>
              <w:left w:val="nil"/>
              <w:bottom w:val="single" w:sz="8" w:space="0" w:color="000000"/>
              <w:right w:val="nil"/>
            </w:tcBorders>
            <w:vAlign w:val="center"/>
          </w:tcPr>
          <w:p w14:paraId="095985A7"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Low</w:t>
            </w:r>
          </w:p>
        </w:tc>
        <w:tc>
          <w:tcPr>
            <w:tcW w:w="959" w:type="dxa"/>
            <w:tcBorders>
              <w:top w:val="nil"/>
              <w:left w:val="nil"/>
              <w:bottom w:val="single" w:sz="8" w:space="0" w:color="000000"/>
              <w:right w:val="nil"/>
            </w:tcBorders>
            <w:vAlign w:val="center"/>
          </w:tcPr>
          <w:p w14:paraId="4A690526"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Full sun</w:t>
            </w:r>
          </w:p>
        </w:tc>
        <w:tc>
          <w:tcPr>
            <w:tcW w:w="980" w:type="dxa"/>
            <w:tcBorders>
              <w:top w:val="nil"/>
              <w:left w:val="nil"/>
              <w:bottom w:val="single" w:sz="8" w:space="0" w:color="000000"/>
              <w:right w:val="nil"/>
            </w:tcBorders>
            <w:vAlign w:val="center"/>
          </w:tcPr>
          <w:p w14:paraId="39F76676"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6 - 12"</w:t>
            </w:r>
          </w:p>
        </w:tc>
        <w:tc>
          <w:tcPr>
            <w:tcW w:w="1199" w:type="dxa"/>
            <w:tcBorders>
              <w:top w:val="nil"/>
              <w:left w:val="nil"/>
              <w:bottom w:val="single" w:sz="8" w:space="0" w:color="000000"/>
              <w:right w:val="nil"/>
            </w:tcBorders>
            <w:vAlign w:val="center"/>
          </w:tcPr>
          <w:p w14:paraId="632286AB" w14:textId="77777777" w:rsidR="00CB2805" w:rsidRDefault="00000000">
            <w:pPr>
              <w:ind w:left="0" w:hanging="2"/>
              <w:jc w:val="center"/>
              <w:rPr>
                <w:rFonts w:ascii="Arial" w:eastAsia="Arial" w:hAnsi="Arial" w:cs="Arial"/>
                <w:sz w:val="17"/>
                <w:szCs w:val="17"/>
              </w:rPr>
            </w:pPr>
            <w:r>
              <w:rPr>
                <w:rFonts w:ascii="Arial" w:eastAsia="Arial" w:hAnsi="Arial" w:cs="Arial"/>
                <w:sz w:val="17"/>
                <w:szCs w:val="17"/>
              </w:rPr>
              <w:t>12"</w:t>
            </w:r>
          </w:p>
        </w:tc>
        <w:tc>
          <w:tcPr>
            <w:tcW w:w="1456" w:type="dxa"/>
            <w:tcBorders>
              <w:top w:val="nil"/>
              <w:left w:val="nil"/>
              <w:bottom w:val="single" w:sz="8" w:space="0" w:color="000000"/>
              <w:right w:val="nil"/>
            </w:tcBorders>
            <w:vAlign w:val="center"/>
          </w:tcPr>
          <w:p w14:paraId="3E954B1A" w14:textId="77777777" w:rsidR="00CB2805" w:rsidRDefault="00000000">
            <w:pPr>
              <w:ind w:left="0" w:hanging="2"/>
              <w:rPr>
                <w:rFonts w:ascii="Arial" w:eastAsia="Arial" w:hAnsi="Arial" w:cs="Arial"/>
                <w:sz w:val="17"/>
                <w:szCs w:val="17"/>
              </w:rPr>
            </w:pPr>
            <w:r>
              <w:rPr>
                <w:rFonts w:ascii="Arial" w:eastAsia="Arial" w:hAnsi="Arial" w:cs="Arial"/>
                <w:sz w:val="17"/>
                <w:szCs w:val="17"/>
              </w:rPr>
              <w:t>Start with plant</w:t>
            </w:r>
          </w:p>
        </w:tc>
        <w:tc>
          <w:tcPr>
            <w:tcW w:w="6355" w:type="dxa"/>
            <w:tcBorders>
              <w:top w:val="nil"/>
              <w:left w:val="nil"/>
              <w:bottom w:val="single" w:sz="8" w:space="0" w:color="000000"/>
              <w:right w:val="single" w:sz="8" w:space="0" w:color="000000"/>
            </w:tcBorders>
            <w:vAlign w:val="center"/>
          </w:tcPr>
          <w:p w14:paraId="006EFD64" w14:textId="77777777" w:rsidR="00CB2805" w:rsidRDefault="00000000">
            <w:pPr>
              <w:ind w:left="0" w:hanging="2"/>
              <w:rPr>
                <w:rFonts w:ascii="Arial" w:eastAsia="Arial" w:hAnsi="Arial" w:cs="Arial"/>
                <w:sz w:val="17"/>
                <w:szCs w:val="17"/>
              </w:rPr>
            </w:pPr>
            <w:r>
              <w:rPr>
                <w:rFonts w:ascii="Arial" w:eastAsia="Arial" w:hAnsi="Arial" w:cs="Arial"/>
                <w:sz w:val="17"/>
                <w:szCs w:val="17"/>
              </w:rPr>
              <w:t xml:space="preserve">Needs well drained soil. Cut back occasionally, leaving half of plant. Life expectancy short, 3-4 years. Good for containers and rock garden. Look for culinary thymes such as English, French and Silver, Lemon (including a variegated variety), Lime, and Caraway. Stands up well to cooking in soups and stew; part of classic bouquet garni. </w:t>
            </w:r>
          </w:p>
        </w:tc>
      </w:tr>
    </w:tbl>
    <w:p w14:paraId="18E02282" w14:textId="77777777" w:rsidR="00CB2805" w:rsidRDefault="00CB2805">
      <w:pPr>
        <w:ind w:left="0" w:hanging="2"/>
        <w:rPr>
          <w:sz w:val="23"/>
          <w:szCs w:val="23"/>
        </w:rPr>
      </w:pPr>
    </w:p>
    <w:p w14:paraId="6998840E" w14:textId="77777777" w:rsidR="00CB2805" w:rsidRDefault="00000000">
      <w:pPr>
        <w:ind w:left="0" w:hanging="2"/>
        <w:rPr>
          <w:rFonts w:ascii="Arial" w:eastAsia="Arial" w:hAnsi="Arial" w:cs="Arial"/>
          <w:sz w:val="23"/>
          <w:szCs w:val="23"/>
        </w:rPr>
      </w:pPr>
      <w:r>
        <w:rPr>
          <w:rFonts w:ascii="Arial" w:eastAsia="Arial" w:hAnsi="Arial" w:cs="Arial"/>
          <w:sz w:val="23"/>
          <w:szCs w:val="23"/>
        </w:rPr>
        <w:t>Resources:</w:t>
      </w:r>
    </w:p>
    <w:p w14:paraId="1B0EFB15" w14:textId="77777777" w:rsidR="00CB2805" w:rsidRDefault="00CB2805">
      <w:pPr>
        <w:ind w:left="0" w:hanging="2"/>
        <w:rPr>
          <w:rFonts w:ascii="Arial" w:eastAsia="Arial" w:hAnsi="Arial" w:cs="Arial"/>
          <w:sz w:val="23"/>
          <w:szCs w:val="23"/>
        </w:rPr>
      </w:pPr>
    </w:p>
    <w:p w14:paraId="28C320FC" w14:textId="77777777" w:rsidR="00CB2805" w:rsidRDefault="00000000">
      <w:pPr>
        <w:ind w:left="0" w:hanging="2"/>
        <w:rPr>
          <w:rFonts w:ascii="Arial" w:eastAsia="Arial" w:hAnsi="Arial" w:cs="Arial"/>
          <w:sz w:val="23"/>
          <w:szCs w:val="23"/>
        </w:rPr>
      </w:pPr>
      <w:hyperlink r:id="rId10">
        <w:r>
          <w:rPr>
            <w:rFonts w:ascii="Arial" w:eastAsia="Arial" w:hAnsi="Arial" w:cs="Arial"/>
            <w:color w:val="1155CC"/>
            <w:sz w:val="23"/>
            <w:szCs w:val="23"/>
            <w:u w:val="single"/>
          </w:rPr>
          <w:t>https://mgsantaclara.ucanr.edu/garden-help/herbs/</w:t>
        </w:r>
      </w:hyperlink>
      <w:r>
        <w:rPr>
          <w:rFonts w:ascii="Arial" w:eastAsia="Arial" w:hAnsi="Arial" w:cs="Arial"/>
          <w:sz w:val="23"/>
          <w:szCs w:val="23"/>
        </w:rPr>
        <w:br/>
        <w:t>UC Master Gardeners of Santa Clara County website information on growing herbs</w:t>
      </w:r>
      <w:r>
        <w:rPr>
          <w:rFonts w:ascii="Arial" w:eastAsia="Arial" w:hAnsi="Arial" w:cs="Arial"/>
          <w:sz w:val="23"/>
          <w:szCs w:val="23"/>
        </w:rPr>
        <w:br/>
      </w:r>
      <w:r>
        <w:rPr>
          <w:rFonts w:ascii="Arial" w:eastAsia="Arial" w:hAnsi="Arial" w:cs="Arial"/>
          <w:sz w:val="23"/>
          <w:szCs w:val="23"/>
        </w:rPr>
        <w:br/>
      </w:r>
      <w:hyperlink r:id="rId11">
        <w:r>
          <w:rPr>
            <w:rFonts w:ascii="Arial" w:eastAsia="Arial" w:hAnsi="Arial" w:cs="Arial"/>
            <w:color w:val="1155CC"/>
            <w:sz w:val="23"/>
            <w:szCs w:val="23"/>
            <w:u w:val="single"/>
          </w:rPr>
          <w:t>https://mgsantaclara.ucanr.edu/garden-help/container-gardening/</w:t>
        </w:r>
      </w:hyperlink>
      <w:r>
        <w:rPr>
          <w:rFonts w:ascii="Arial" w:eastAsia="Arial" w:hAnsi="Arial" w:cs="Arial"/>
          <w:sz w:val="23"/>
          <w:szCs w:val="23"/>
        </w:rPr>
        <w:br/>
        <w:t>UC Master Gardeners of Santa Clara County website information on container gardening</w:t>
      </w:r>
    </w:p>
    <w:p w14:paraId="60D51A8B" w14:textId="77777777" w:rsidR="00CB2805" w:rsidRDefault="00CB2805">
      <w:pPr>
        <w:ind w:left="0" w:hanging="2"/>
        <w:rPr>
          <w:rFonts w:ascii="Arial" w:eastAsia="Arial" w:hAnsi="Arial" w:cs="Arial"/>
          <w:sz w:val="23"/>
          <w:szCs w:val="23"/>
        </w:rPr>
      </w:pPr>
    </w:p>
    <w:p w14:paraId="6A682CC5" w14:textId="77777777" w:rsidR="00CB2805" w:rsidRDefault="00000000">
      <w:pPr>
        <w:ind w:left="0" w:hanging="2"/>
        <w:rPr>
          <w:rFonts w:ascii="Arial" w:eastAsia="Arial" w:hAnsi="Arial" w:cs="Arial"/>
          <w:sz w:val="23"/>
          <w:szCs w:val="23"/>
        </w:rPr>
      </w:pPr>
      <w:hyperlink r:id="rId12">
        <w:r>
          <w:rPr>
            <w:rFonts w:ascii="Arial" w:eastAsia="Arial" w:hAnsi="Arial" w:cs="Arial"/>
            <w:color w:val="0000FF"/>
            <w:sz w:val="23"/>
            <w:szCs w:val="23"/>
            <w:u w:val="single"/>
          </w:rPr>
          <w:t>http://www.ipm.ucdavis.edu/</w:t>
        </w:r>
      </w:hyperlink>
      <w:r>
        <w:rPr>
          <w:rFonts w:ascii="Arial" w:eastAsia="Arial" w:hAnsi="Arial" w:cs="Arial"/>
          <w:sz w:val="23"/>
          <w:szCs w:val="23"/>
        </w:rPr>
        <w:t xml:space="preserve">   Information about plant pests and diseases and how to control them</w:t>
      </w:r>
    </w:p>
    <w:p w14:paraId="398A7F72" w14:textId="77777777" w:rsidR="00CB2805" w:rsidRDefault="00CB2805">
      <w:pPr>
        <w:ind w:left="0" w:hanging="2"/>
        <w:rPr>
          <w:rFonts w:ascii="Arial" w:eastAsia="Arial" w:hAnsi="Arial" w:cs="Arial"/>
          <w:sz w:val="23"/>
          <w:szCs w:val="23"/>
        </w:rPr>
      </w:pPr>
    </w:p>
    <w:p w14:paraId="11481840" w14:textId="77777777" w:rsidR="00CB2805" w:rsidRDefault="00CB2805">
      <w:pPr>
        <w:ind w:left="0" w:hanging="2"/>
        <w:rPr>
          <w:sz w:val="23"/>
          <w:szCs w:val="23"/>
        </w:rPr>
      </w:pPr>
    </w:p>
    <w:sectPr w:rsidR="00CB2805">
      <w:pgSz w:w="15840" w:h="12240" w:orient="landscape"/>
      <w:pgMar w:top="1620" w:right="1440" w:bottom="12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0538A9-0EB1-4041-9898-E17C1CFB745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855A4DA0-C700-47DF-939B-6104C82FC8F1}"/>
    <w:embedItalic r:id="rId3" w:fontKey="{608DDC2C-D3EB-449E-B484-7272671DFE9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C4B8FBA-34D9-406B-A278-8D2F0F3093D7}"/>
  </w:font>
  <w:font w:name="Cambria">
    <w:panose1 w:val="02040503050406030204"/>
    <w:charset w:val="00"/>
    <w:family w:val="roman"/>
    <w:pitch w:val="variable"/>
    <w:sig w:usb0="E00006FF" w:usb1="420024FF" w:usb2="02000000" w:usb3="00000000" w:csb0="0000019F" w:csb1="00000000"/>
    <w:embedRegular r:id="rId5" w:fontKey="{F4120DF9-C84A-426F-B8EE-7D88420F70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1061A7"/>
    <w:multiLevelType w:val="multilevel"/>
    <w:tmpl w:val="78E2F7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17342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805"/>
    <w:rsid w:val="00155D34"/>
    <w:rsid w:val="00216F5A"/>
    <w:rsid w:val="00CB2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A2A04"/>
  <w15:docId w15:val="{FEE90560-9827-406B-9FF3-7308CB1A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Pr>
      <w:color w:val="0000FF"/>
      <w:w w:val="100"/>
      <w:position w:val="-1"/>
      <w:u w:val="single"/>
      <w:effect w:val="none"/>
      <w:vertAlign w:val="baseline"/>
      <w:cs w:val="0"/>
      <w:em w:val="non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www.ipm.ucdavis.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gsantaclara.ucanr.edu/garden-help/container-gardening/" TargetMode="External"/><Relationship Id="rId5" Type="http://schemas.openxmlformats.org/officeDocument/2006/relationships/webSettings" Target="webSettings.xml"/><Relationship Id="rId10" Type="http://schemas.openxmlformats.org/officeDocument/2006/relationships/hyperlink" Target="https://mgsantaclara.ucanr.edu/garden-help/herb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bZqp89i8OabxLOyun9Wg8IdTJQ==">CgMxLjA4AHIxMEIyMUNUdjNPNFNCZ01VTkNVVXgwWjFSQmQwbHNjV0l5U1hGUWNYbzNWR1JpVDNKUg==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1206</Words>
  <Characters>6880</Characters>
  <Application>Microsoft Office Word</Application>
  <DocSecurity>0</DocSecurity>
  <Lines>57</Lines>
  <Paragraphs>16</Paragraphs>
  <ScaleCrop>false</ScaleCrop>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Nirmala Rajesh</cp:lastModifiedBy>
  <cp:revision>2</cp:revision>
  <dcterms:created xsi:type="dcterms:W3CDTF">2025-09-11T06:23:00Z</dcterms:created>
  <dcterms:modified xsi:type="dcterms:W3CDTF">2025-09-11T06:23:00Z</dcterms:modified>
</cp:coreProperties>
</file>