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93" w:rsidRDefault="00963D9A">
      <w:pPr>
        <w:rPr>
          <w:sz w:val="32"/>
          <w:szCs w:val="32"/>
        </w:rPr>
      </w:pPr>
      <w:r>
        <w:rPr>
          <w:sz w:val="32"/>
          <w:szCs w:val="32"/>
        </w:rPr>
        <w:t xml:space="preserve">Testing the Timing of Zinc Applications in the </w:t>
      </w:r>
      <w:proofErr w:type="gramStart"/>
      <w:r>
        <w:rPr>
          <w:sz w:val="32"/>
          <w:szCs w:val="32"/>
        </w:rPr>
        <w:t>Fall</w:t>
      </w:r>
      <w:proofErr w:type="gramEnd"/>
      <w:r>
        <w:rPr>
          <w:sz w:val="32"/>
          <w:szCs w:val="32"/>
        </w:rPr>
        <w:t xml:space="preserve"> and Winter</w:t>
      </w:r>
    </w:p>
    <w:p w:rsidR="00202957" w:rsidRPr="00202957" w:rsidRDefault="00202957">
      <w:pPr>
        <w:rPr>
          <w:sz w:val="24"/>
          <w:szCs w:val="24"/>
        </w:rPr>
      </w:pPr>
      <w:r>
        <w:rPr>
          <w:sz w:val="24"/>
          <w:szCs w:val="24"/>
        </w:rPr>
        <w:t xml:space="preserve">R. Scott Johnson, UC Extension </w:t>
      </w:r>
      <w:proofErr w:type="spellStart"/>
      <w:r>
        <w:rPr>
          <w:sz w:val="24"/>
          <w:szCs w:val="24"/>
        </w:rPr>
        <w:t>Pomologist</w:t>
      </w:r>
      <w:proofErr w:type="spellEnd"/>
    </w:p>
    <w:p w:rsidR="00963D9A" w:rsidRDefault="00963D9A">
      <w:pPr>
        <w:rPr>
          <w:sz w:val="24"/>
          <w:szCs w:val="24"/>
        </w:rPr>
      </w:pPr>
      <w:r>
        <w:rPr>
          <w:sz w:val="24"/>
          <w:szCs w:val="24"/>
        </w:rPr>
        <w:t>Two experiments were conducted to determine the best timing for zinc applications in the fall and winter. Both experiments used potted</w:t>
      </w:r>
      <w:r w:rsidR="00CB47D6">
        <w:rPr>
          <w:sz w:val="24"/>
          <w:szCs w:val="24"/>
        </w:rPr>
        <w:t xml:space="preserve"> one-year-old</w:t>
      </w:r>
      <w:r>
        <w:rPr>
          <w:sz w:val="24"/>
          <w:szCs w:val="24"/>
        </w:rPr>
        <w:t xml:space="preserve"> peach trees </w:t>
      </w:r>
      <w:r w:rsidR="00CB47D6">
        <w:rPr>
          <w:sz w:val="24"/>
          <w:szCs w:val="24"/>
        </w:rPr>
        <w:t xml:space="preserve">growing in sand. </w:t>
      </w:r>
      <w:r w:rsidR="006068BA">
        <w:rPr>
          <w:sz w:val="24"/>
          <w:szCs w:val="24"/>
        </w:rPr>
        <w:t>Applications were made with f</w:t>
      </w:r>
      <w:r>
        <w:rPr>
          <w:sz w:val="24"/>
          <w:szCs w:val="24"/>
        </w:rPr>
        <w:t xml:space="preserve">ormulations of zinc sulfate and zinc oxide labeled with </w:t>
      </w:r>
      <w:r w:rsidRPr="00963D9A">
        <w:rPr>
          <w:sz w:val="24"/>
          <w:szCs w:val="24"/>
          <w:vertAlign w:val="superscript"/>
        </w:rPr>
        <w:t>68</w:t>
      </w:r>
      <w:r>
        <w:rPr>
          <w:sz w:val="24"/>
          <w:szCs w:val="24"/>
        </w:rPr>
        <w:t>Zn</w:t>
      </w:r>
      <w:r w:rsidR="006068BA">
        <w:rPr>
          <w:sz w:val="24"/>
          <w:szCs w:val="24"/>
        </w:rPr>
        <w:t xml:space="preserve">. </w:t>
      </w:r>
    </w:p>
    <w:p w:rsidR="006068BA" w:rsidRDefault="00CB47D6">
      <w:pPr>
        <w:rPr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>Experiment 1.</w:t>
      </w:r>
      <w:proofErr w:type="gramEnd"/>
      <w:r>
        <w:rPr>
          <w:sz w:val="24"/>
          <w:szCs w:val="24"/>
        </w:rPr>
        <w:t xml:space="preserve"> Foliar applications of </w:t>
      </w:r>
      <w:r w:rsidRPr="00CB47D6">
        <w:rPr>
          <w:sz w:val="24"/>
          <w:szCs w:val="24"/>
          <w:vertAlign w:val="superscript"/>
        </w:rPr>
        <w:t>68</w:t>
      </w:r>
      <w:r>
        <w:rPr>
          <w:sz w:val="24"/>
          <w:szCs w:val="24"/>
        </w:rPr>
        <w:t>Zn sulfate were made on two dates (10/24/07 &amp; 11/16/07) and at two concentrations (2000 &amp; 5000 ppm Zn</w:t>
      </w:r>
      <w:r w:rsidR="0002355A">
        <w:rPr>
          <w:sz w:val="24"/>
          <w:szCs w:val="24"/>
        </w:rPr>
        <w:t xml:space="preserve"> – about 4 &amp; 10 </w:t>
      </w:r>
      <w:proofErr w:type="spellStart"/>
      <w:r w:rsidR="0002355A">
        <w:rPr>
          <w:sz w:val="24"/>
          <w:szCs w:val="24"/>
        </w:rPr>
        <w:t>lbs</w:t>
      </w:r>
      <w:proofErr w:type="spellEnd"/>
      <w:r w:rsidR="0002355A">
        <w:rPr>
          <w:sz w:val="24"/>
          <w:szCs w:val="24"/>
        </w:rPr>
        <w:t xml:space="preserve"> Zn sulfate/100 gals, respectively) to five trees per treatment. </w:t>
      </w:r>
      <w:r w:rsidR="00D861C0">
        <w:rPr>
          <w:sz w:val="24"/>
          <w:szCs w:val="24"/>
        </w:rPr>
        <w:t xml:space="preserve">Natural leaf senescence was complete by mid-December. </w:t>
      </w:r>
      <w:r w:rsidR="0002355A">
        <w:rPr>
          <w:sz w:val="24"/>
          <w:szCs w:val="24"/>
        </w:rPr>
        <w:t xml:space="preserve">Whole trees were then harvested in April, 2008 and analyzed for </w:t>
      </w:r>
      <w:r w:rsidR="0002355A" w:rsidRPr="0002355A">
        <w:rPr>
          <w:sz w:val="24"/>
          <w:szCs w:val="24"/>
          <w:vertAlign w:val="superscript"/>
        </w:rPr>
        <w:t>68</w:t>
      </w:r>
      <w:r w:rsidR="0002355A">
        <w:rPr>
          <w:sz w:val="24"/>
          <w:szCs w:val="24"/>
        </w:rPr>
        <w:t>Zn to determine zinc uptake</w:t>
      </w:r>
      <w:r w:rsidR="00D861C0">
        <w:rPr>
          <w:sz w:val="24"/>
          <w:szCs w:val="24"/>
        </w:rPr>
        <w:t xml:space="preserve"> and distribution. </w:t>
      </w:r>
    </w:p>
    <w:p w:rsidR="002364F5" w:rsidRDefault="002364F5">
      <w:pPr>
        <w:rPr>
          <w:sz w:val="24"/>
          <w:szCs w:val="24"/>
        </w:rPr>
      </w:pPr>
      <w:r>
        <w:rPr>
          <w:sz w:val="24"/>
          <w:szCs w:val="24"/>
        </w:rPr>
        <w:t xml:space="preserve">Results clearly showed that the earlier timing supplied more zinc to the trees than the later timing (Fig. 1). There was no difference </w:t>
      </w:r>
      <w:r w:rsidR="00D861C0">
        <w:rPr>
          <w:sz w:val="24"/>
          <w:szCs w:val="24"/>
        </w:rPr>
        <w:t xml:space="preserve">between the two concentrations, probably because the higher rate caused some </w:t>
      </w:r>
      <w:proofErr w:type="spellStart"/>
      <w:r w:rsidR="00D861C0">
        <w:rPr>
          <w:sz w:val="24"/>
          <w:szCs w:val="24"/>
        </w:rPr>
        <w:t>phytotoxicity</w:t>
      </w:r>
      <w:proofErr w:type="spellEnd"/>
      <w:r w:rsidR="00D861C0">
        <w:rPr>
          <w:sz w:val="24"/>
          <w:szCs w:val="24"/>
        </w:rPr>
        <w:t xml:space="preserve"> and early leaf senescence. </w:t>
      </w:r>
      <w:r>
        <w:rPr>
          <w:sz w:val="24"/>
          <w:szCs w:val="24"/>
        </w:rPr>
        <w:t xml:space="preserve"> </w:t>
      </w:r>
      <w:r w:rsidR="00D861C0">
        <w:rPr>
          <w:sz w:val="24"/>
          <w:szCs w:val="24"/>
        </w:rPr>
        <w:t>The earlier t</w:t>
      </w:r>
      <w:r w:rsidR="004E2A69">
        <w:rPr>
          <w:sz w:val="24"/>
          <w:szCs w:val="24"/>
        </w:rPr>
        <w:t>iming</w:t>
      </w:r>
      <w:r w:rsidR="00D861C0">
        <w:rPr>
          <w:sz w:val="24"/>
          <w:szCs w:val="24"/>
        </w:rPr>
        <w:t xml:space="preserve">/lower concentration </w:t>
      </w:r>
      <w:r w:rsidR="004E2A69">
        <w:rPr>
          <w:sz w:val="24"/>
          <w:szCs w:val="24"/>
        </w:rPr>
        <w:t xml:space="preserve">treatment </w:t>
      </w:r>
      <w:r w:rsidR="00D861C0">
        <w:rPr>
          <w:sz w:val="24"/>
          <w:szCs w:val="24"/>
        </w:rPr>
        <w:t>also had more zinc in the roots than the other three</w:t>
      </w:r>
      <w:r w:rsidR="004E2A69">
        <w:rPr>
          <w:sz w:val="24"/>
          <w:szCs w:val="24"/>
        </w:rPr>
        <w:t xml:space="preserve"> treatments (data not shown). </w:t>
      </w:r>
    </w:p>
    <w:p w:rsidR="00845C27" w:rsidRDefault="00845C27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C7A8C2D" wp14:editId="410321E1">
            <wp:extent cx="4572000" cy="27432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24165" w:rsidRDefault="00845C2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Figure 1.</w:t>
      </w:r>
      <w:proofErr w:type="gramEnd"/>
      <w:r>
        <w:rPr>
          <w:sz w:val="24"/>
          <w:szCs w:val="24"/>
        </w:rPr>
        <w:t xml:space="preserve"> Uptake </w:t>
      </w:r>
      <w:r w:rsidR="00824165">
        <w:rPr>
          <w:sz w:val="24"/>
          <w:szCs w:val="24"/>
        </w:rPr>
        <w:t xml:space="preserve">by peach trees </w:t>
      </w:r>
      <w:r>
        <w:rPr>
          <w:sz w:val="24"/>
          <w:szCs w:val="24"/>
        </w:rPr>
        <w:t xml:space="preserve">of </w:t>
      </w:r>
      <w:r w:rsidRPr="00845C27">
        <w:rPr>
          <w:sz w:val="24"/>
          <w:szCs w:val="24"/>
          <w:vertAlign w:val="superscript"/>
        </w:rPr>
        <w:t>68</w:t>
      </w:r>
      <w:r>
        <w:rPr>
          <w:sz w:val="24"/>
          <w:szCs w:val="24"/>
        </w:rPr>
        <w:t>Zn from foliar applications of zinc sulfate on two dates (Oct 24 &amp; Nov 16) a</w:t>
      </w:r>
      <w:r w:rsidR="00824165">
        <w:rPr>
          <w:sz w:val="24"/>
          <w:szCs w:val="24"/>
        </w:rPr>
        <w:t xml:space="preserve">nd two concentrations (2,000 &amp; 5,000 ppm Zn). </w:t>
      </w:r>
    </w:p>
    <w:p w:rsidR="00845C27" w:rsidRDefault="0082416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E2A69" w:rsidRDefault="004E2A69">
      <w:pPr>
        <w:rPr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>Experiment 2.</w:t>
      </w:r>
      <w:proofErr w:type="gramEnd"/>
      <w:r>
        <w:rPr>
          <w:sz w:val="24"/>
          <w:szCs w:val="24"/>
          <w:u w:val="single"/>
        </w:rPr>
        <w:t xml:space="preserve"> </w:t>
      </w:r>
      <w:r w:rsidR="00FB31F3">
        <w:rPr>
          <w:sz w:val="24"/>
          <w:szCs w:val="24"/>
        </w:rPr>
        <w:t xml:space="preserve">Applications of </w:t>
      </w:r>
      <w:r w:rsidR="00FB31F3" w:rsidRPr="00FB31F3">
        <w:rPr>
          <w:sz w:val="24"/>
          <w:szCs w:val="24"/>
          <w:vertAlign w:val="superscript"/>
        </w:rPr>
        <w:t>68</w:t>
      </w:r>
      <w:r w:rsidR="00FB31F3">
        <w:rPr>
          <w:sz w:val="24"/>
          <w:szCs w:val="24"/>
        </w:rPr>
        <w:t xml:space="preserve">Zn sulfate or </w:t>
      </w:r>
      <w:r w:rsidR="00FB31F3" w:rsidRPr="00FB31F3">
        <w:rPr>
          <w:sz w:val="24"/>
          <w:szCs w:val="24"/>
          <w:vertAlign w:val="superscript"/>
        </w:rPr>
        <w:t>68</w:t>
      </w:r>
      <w:r w:rsidR="00FB31F3">
        <w:rPr>
          <w:sz w:val="24"/>
          <w:szCs w:val="24"/>
        </w:rPr>
        <w:t>Zn oxide were made to all shoots of one-year-old peach trees on either 11/19/07 or 1/18/08</w:t>
      </w:r>
      <w:r w:rsidR="009E08E9">
        <w:rPr>
          <w:sz w:val="24"/>
          <w:szCs w:val="24"/>
        </w:rPr>
        <w:t xml:space="preserve">. All leaves that had not senesced naturally were </w:t>
      </w:r>
      <w:r w:rsidR="009E08E9">
        <w:rPr>
          <w:sz w:val="24"/>
          <w:szCs w:val="24"/>
        </w:rPr>
        <w:lastRenderedPageBreak/>
        <w:t xml:space="preserve">removed before the first date. </w:t>
      </w:r>
      <w:r w:rsidR="00F24A89">
        <w:rPr>
          <w:sz w:val="24"/>
          <w:szCs w:val="24"/>
        </w:rPr>
        <w:t xml:space="preserve">Treatments were made with a paintbrush to insure an exact amount applied. Concentration for both materials was 5000 ppm Zn. Whole trees were then harvested in April, 2008 and analyzed for </w:t>
      </w:r>
      <w:r w:rsidR="00F24A89" w:rsidRPr="0002355A">
        <w:rPr>
          <w:sz w:val="24"/>
          <w:szCs w:val="24"/>
          <w:vertAlign w:val="superscript"/>
        </w:rPr>
        <w:t>68</w:t>
      </w:r>
      <w:r w:rsidR="00F24A89">
        <w:rPr>
          <w:sz w:val="24"/>
          <w:szCs w:val="24"/>
        </w:rPr>
        <w:t xml:space="preserve">Zn to determine zinc uptake. </w:t>
      </w:r>
    </w:p>
    <w:p w:rsidR="00F24A89" w:rsidRDefault="00F24A89">
      <w:pPr>
        <w:rPr>
          <w:sz w:val="24"/>
          <w:szCs w:val="24"/>
        </w:rPr>
      </w:pPr>
      <w:r>
        <w:rPr>
          <w:sz w:val="24"/>
          <w:szCs w:val="24"/>
        </w:rPr>
        <w:t xml:space="preserve">Results indicate that zinc sulfate applied in November was the best treatment for supplying zinc to peach trees (Fig. 2). </w:t>
      </w:r>
      <w:r w:rsidR="00202957">
        <w:rPr>
          <w:sz w:val="24"/>
          <w:szCs w:val="24"/>
        </w:rPr>
        <w:t>As with Experiment 1</w:t>
      </w:r>
      <w:r w:rsidR="005B4BBE">
        <w:rPr>
          <w:sz w:val="24"/>
          <w:szCs w:val="24"/>
        </w:rPr>
        <w:t xml:space="preserve">, it appears that the earlier date allows more time for zinc to be taken up into the tree. </w:t>
      </w:r>
    </w:p>
    <w:p w:rsidR="002A5262" w:rsidRDefault="002A5262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A37A953" wp14:editId="04922769">
            <wp:extent cx="4572000" cy="27432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479B" w:rsidRDefault="0012479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Figure 2.</w:t>
      </w:r>
      <w:proofErr w:type="gramEnd"/>
      <w:r>
        <w:rPr>
          <w:sz w:val="24"/>
          <w:szCs w:val="24"/>
        </w:rPr>
        <w:t xml:space="preserve"> Uptake by peach trees of </w:t>
      </w:r>
      <w:r w:rsidRPr="0012479B">
        <w:rPr>
          <w:sz w:val="24"/>
          <w:szCs w:val="24"/>
          <w:vertAlign w:val="superscript"/>
        </w:rPr>
        <w:t>68</w:t>
      </w:r>
      <w:r>
        <w:rPr>
          <w:sz w:val="24"/>
          <w:szCs w:val="24"/>
        </w:rPr>
        <w:t xml:space="preserve">Zn from application to shoots of zinc sulfate or zinc oxide applied on Nov 19 or Jan 18. </w:t>
      </w:r>
    </w:p>
    <w:p w:rsidR="0012479B" w:rsidRDefault="0012479B">
      <w:pPr>
        <w:rPr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>Conclusions.</w:t>
      </w:r>
      <w:proofErr w:type="gramEnd"/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The following conclusions about maximizing zinc uptake into peach trees can be drawn from these two experiments:</w:t>
      </w:r>
    </w:p>
    <w:p w:rsidR="0012479B" w:rsidRDefault="0012479B" w:rsidP="0012479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Soluble zinc sulfate works better than insoluble zinc oxide</w:t>
      </w:r>
      <w:r w:rsidR="00472E39">
        <w:rPr>
          <w:sz w:val="24"/>
          <w:szCs w:val="24"/>
        </w:rPr>
        <w:t>.</w:t>
      </w:r>
    </w:p>
    <w:p w:rsidR="0012479B" w:rsidRDefault="00472E39" w:rsidP="0012479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Allowing a longer period for the zinc to be taken up by green leaves</w:t>
      </w:r>
      <w:r w:rsidR="003536CF">
        <w:rPr>
          <w:sz w:val="24"/>
          <w:szCs w:val="24"/>
        </w:rPr>
        <w:t xml:space="preserve"> and wood</w:t>
      </w:r>
      <w:r>
        <w:rPr>
          <w:sz w:val="24"/>
          <w:szCs w:val="24"/>
        </w:rPr>
        <w:t xml:space="preserve"> i</w:t>
      </w:r>
      <w:r w:rsidR="005B4BBE">
        <w:rPr>
          <w:sz w:val="24"/>
          <w:szCs w:val="24"/>
        </w:rPr>
        <w:t xml:space="preserve">ncreases </w:t>
      </w:r>
      <w:r>
        <w:rPr>
          <w:sz w:val="24"/>
          <w:szCs w:val="24"/>
        </w:rPr>
        <w:t>uptake.</w:t>
      </w:r>
    </w:p>
    <w:p w:rsidR="00472E39" w:rsidRPr="0012479B" w:rsidRDefault="00472E39" w:rsidP="0012479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Therefore, the optimum method for supplying zinc to peach trees after harvest is to spray zinc sulfate</w:t>
      </w:r>
      <w:r w:rsidR="00C1051A">
        <w:rPr>
          <w:sz w:val="24"/>
          <w:szCs w:val="24"/>
        </w:rPr>
        <w:t xml:space="preserve"> early in the fall (Sept – </w:t>
      </w:r>
      <w:r w:rsidR="005B4BBE">
        <w:rPr>
          <w:sz w:val="24"/>
          <w:szCs w:val="24"/>
        </w:rPr>
        <w:t>Mid</w:t>
      </w:r>
      <w:r w:rsidR="00C1051A">
        <w:rPr>
          <w:sz w:val="24"/>
          <w:szCs w:val="24"/>
        </w:rPr>
        <w:t xml:space="preserve"> Oct) rather than waiting until natural se</w:t>
      </w:r>
      <w:r w:rsidR="00202957">
        <w:rPr>
          <w:sz w:val="24"/>
          <w:szCs w:val="24"/>
        </w:rPr>
        <w:t>nescence is starting to occur. It is recommended to use</w:t>
      </w:r>
      <w:r w:rsidR="00C1051A">
        <w:rPr>
          <w:sz w:val="24"/>
          <w:szCs w:val="24"/>
        </w:rPr>
        <w:t xml:space="preserve"> a rate that does not cause major defoliation. </w:t>
      </w:r>
      <w:bookmarkStart w:id="0" w:name="_GoBack"/>
      <w:bookmarkEnd w:id="0"/>
    </w:p>
    <w:sectPr w:rsidR="00472E39" w:rsidRPr="00124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34AA2"/>
    <w:multiLevelType w:val="hybridMultilevel"/>
    <w:tmpl w:val="238E7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9A"/>
    <w:rsid w:val="0002355A"/>
    <w:rsid w:val="0012479B"/>
    <w:rsid w:val="00202957"/>
    <w:rsid w:val="002364F5"/>
    <w:rsid w:val="002A5262"/>
    <w:rsid w:val="003536CF"/>
    <w:rsid w:val="00472E39"/>
    <w:rsid w:val="004E2A69"/>
    <w:rsid w:val="005B4BBE"/>
    <w:rsid w:val="006068BA"/>
    <w:rsid w:val="007F3F93"/>
    <w:rsid w:val="00824165"/>
    <w:rsid w:val="00845C27"/>
    <w:rsid w:val="00963D9A"/>
    <w:rsid w:val="009E08E9"/>
    <w:rsid w:val="00C1051A"/>
    <w:rsid w:val="00CB47D6"/>
    <w:rsid w:val="00D861C0"/>
    <w:rsid w:val="00F24A89"/>
    <w:rsid w:val="00FB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C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C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kac\root\personal\SJOHNSON\SJOHNSON\DATA\NUTRITION\Zinc\Zn68%20in%20Grafted%20Trees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kac\root\personal\SJOHNSON\SJOHNSON\DATA\NUTRITION\Zinc\Zn68%20Applied%20to%20Dormant%20Shoot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200240594925634"/>
          <c:y val="5.6030183727034118E-2"/>
          <c:w val="0.71144335083114607"/>
          <c:h val="0.734448089822105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FallPch!$BE$47</c:f>
              <c:strCache>
                <c:ptCount val="1"/>
                <c:pt idx="0">
                  <c:v>2,000</c:v>
                </c:pt>
              </c:strCache>
            </c:strRef>
          </c:tx>
          <c:invertIfNegative val="0"/>
          <c:cat>
            <c:strRef>
              <c:f>FallPch!$BF$46:$BG$46</c:f>
              <c:strCache>
                <c:ptCount val="2"/>
                <c:pt idx="0">
                  <c:v>Oct 24</c:v>
                </c:pt>
                <c:pt idx="1">
                  <c:v>Nov 16</c:v>
                </c:pt>
              </c:strCache>
            </c:strRef>
          </c:cat>
          <c:val>
            <c:numRef>
              <c:f>FallPch!$BF$47:$BG$47</c:f>
              <c:numCache>
                <c:formatCode>General</c:formatCode>
                <c:ptCount val="2"/>
                <c:pt idx="0">
                  <c:v>64.839386159569045</c:v>
                </c:pt>
                <c:pt idx="1">
                  <c:v>34.960081941052188</c:v>
                </c:pt>
              </c:numCache>
            </c:numRef>
          </c:val>
        </c:ser>
        <c:ser>
          <c:idx val="1"/>
          <c:order val="1"/>
          <c:tx>
            <c:strRef>
              <c:f>FallPch!$BE$48</c:f>
              <c:strCache>
                <c:ptCount val="1"/>
                <c:pt idx="0">
                  <c:v>5,000</c:v>
                </c:pt>
              </c:strCache>
            </c:strRef>
          </c:tx>
          <c:invertIfNegative val="0"/>
          <c:cat>
            <c:strRef>
              <c:f>FallPch!$BF$46:$BG$46</c:f>
              <c:strCache>
                <c:ptCount val="2"/>
                <c:pt idx="0">
                  <c:v>Oct 24</c:v>
                </c:pt>
                <c:pt idx="1">
                  <c:v>Nov 16</c:v>
                </c:pt>
              </c:strCache>
            </c:strRef>
          </c:cat>
          <c:val>
            <c:numRef>
              <c:f>FallPch!$BF$48:$BG$48</c:f>
              <c:numCache>
                <c:formatCode>General</c:formatCode>
                <c:ptCount val="2"/>
                <c:pt idx="0">
                  <c:v>67.024956978380544</c:v>
                </c:pt>
                <c:pt idx="1">
                  <c:v>48.379261138125671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5954304"/>
        <c:axId val="194202432"/>
      </c:barChart>
      <c:catAx>
        <c:axId val="1859543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Date of Application</a:t>
                </a:r>
              </a:p>
            </c:rich>
          </c:tx>
          <c:layout/>
          <c:overlay val="0"/>
        </c:title>
        <c:majorTickMark val="out"/>
        <c:minorTickMark val="none"/>
        <c:tickLblPos val="nextTo"/>
        <c:crossAx val="194202432"/>
        <c:crosses val="autoZero"/>
        <c:auto val="1"/>
        <c:lblAlgn val="ctr"/>
        <c:lblOffset val="100"/>
        <c:noMultiLvlLbl val="0"/>
      </c:catAx>
      <c:valAx>
        <c:axId val="19420243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Zinc Uptake from Fertilizer (mg)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859543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790529308836397"/>
          <c:y val="5.1400554097404488E-2"/>
          <c:w val="0.69484580052493439"/>
          <c:h val="0.734448089822105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'2008'!$AX$43</c:f>
              <c:strCache>
                <c:ptCount val="1"/>
                <c:pt idx="0">
                  <c:v>Zn Sulfate</c:v>
                </c:pt>
              </c:strCache>
            </c:strRef>
          </c:tx>
          <c:invertIfNegative val="0"/>
          <c:cat>
            <c:strRef>
              <c:f>'2008'!$AY$42:$AZ$42</c:f>
              <c:strCache>
                <c:ptCount val="2"/>
                <c:pt idx="0">
                  <c:v>Nov 19</c:v>
                </c:pt>
                <c:pt idx="1">
                  <c:v>Jan 18</c:v>
                </c:pt>
              </c:strCache>
            </c:strRef>
          </c:cat>
          <c:val>
            <c:numRef>
              <c:f>'2008'!$AY$43:$AZ$43</c:f>
              <c:numCache>
                <c:formatCode>General</c:formatCode>
                <c:ptCount val="2"/>
                <c:pt idx="0">
                  <c:v>3.2156376874027353</c:v>
                </c:pt>
                <c:pt idx="1">
                  <c:v>1.8201221312812208</c:v>
                </c:pt>
              </c:numCache>
            </c:numRef>
          </c:val>
        </c:ser>
        <c:ser>
          <c:idx val="1"/>
          <c:order val="1"/>
          <c:tx>
            <c:strRef>
              <c:f>'2008'!$AX$44</c:f>
              <c:strCache>
                <c:ptCount val="1"/>
                <c:pt idx="0">
                  <c:v>Zn Oxide</c:v>
                </c:pt>
              </c:strCache>
            </c:strRef>
          </c:tx>
          <c:invertIfNegative val="0"/>
          <c:cat>
            <c:strRef>
              <c:f>'2008'!$AY$42:$AZ$42</c:f>
              <c:strCache>
                <c:ptCount val="2"/>
                <c:pt idx="0">
                  <c:v>Nov 19</c:v>
                </c:pt>
                <c:pt idx="1">
                  <c:v>Jan 18</c:v>
                </c:pt>
              </c:strCache>
            </c:strRef>
          </c:cat>
          <c:val>
            <c:numRef>
              <c:f>'2008'!$AY$44:$AZ$44</c:f>
              <c:numCache>
                <c:formatCode>General</c:formatCode>
                <c:ptCount val="2"/>
                <c:pt idx="0">
                  <c:v>0.80672715287177488</c:v>
                </c:pt>
                <c:pt idx="1">
                  <c:v>0.73610887456544272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2952064"/>
        <c:axId val="181763392"/>
      </c:barChart>
      <c:catAx>
        <c:axId val="1729520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Date of Application</a:t>
                </a:r>
              </a:p>
            </c:rich>
          </c:tx>
          <c:layout/>
          <c:overlay val="0"/>
        </c:title>
        <c:majorTickMark val="out"/>
        <c:minorTickMark val="none"/>
        <c:tickLblPos val="nextTo"/>
        <c:crossAx val="181763392"/>
        <c:crosses val="autoZero"/>
        <c:auto val="1"/>
        <c:lblAlgn val="ctr"/>
        <c:lblOffset val="100"/>
        <c:noMultiLvlLbl val="0"/>
      </c:catAx>
      <c:valAx>
        <c:axId val="18176339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Zn Uptake - % of Applied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7295206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0.24375</cdr:x>
      <cdr:y>0.09896</cdr:y>
    </cdr:from>
    <cdr:to>
      <cdr:x>0.30417</cdr:x>
      <cdr:y>0.18229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114424" y="271463"/>
          <a:ext cx="276225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a</a:t>
          </a:r>
        </a:p>
      </cdr:txBody>
    </cdr:sp>
  </cdr:relSizeAnchor>
  <cdr:relSizeAnchor xmlns:cdr="http://schemas.openxmlformats.org/drawingml/2006/chartDrawing">
    <cdr:from>
      <cdr:x>0.33542</cdr:x>
      <cdr:y>0.08507</cdr:y>
    </cdr:from>
    <cdr:to>
      <cdr:x>0.41458</cdr:x>
      <cdr:y>0.18924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533525" y="233363"/>
          <a:ext cx="361950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a</a:t>
          </a:r>
        </a:p>
      </cdr:txBody>
    </cdr:sp>
  </cdr:relSizeAnchor>
  <cdr:relSizeAnchor xmlns:cdr="http://schemas.openxmlformats.org/drawingml/2006/chartDrawing">
    <cdr:from>
      <cdr:x>0.7</cdr:x>
      <cdr:y>0.24479</cdr:y>
    </cdr:from>
    <cdr:to>
      <cdr:x>0.76458</cdr:x>
      <cdr:y>0.34201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3200400" y="671513"/>
          <a:ext cx="295275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b</a:t>
          </a:r>
        </a:p>
      </cdr:txBody>
    </cdr:sp>
  </cdr:relSizeAnchor>
  <cdr:relSizeAnchor xmlns:cdr="http://schemas.openxmlformats.org/drawingml/2006/chartDrawing">
    <cdr:from>
      <cdr:x>0.58958</cdr:x>
      <cdr:y>0.38715</cdr:y>
    </cdr:from>
    <cdr:to>
      <cdr:x>0.78958</cdr:x>
      <cdr:y>0.72049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2695575" y="106203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c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0.22292</cdr:x>
      <cdr:y>0.03125</cdr:y>
    </cdr:from>
    <cdr:to>
      <cdr:x>0.42292</cdr:x>
      <cdr:y>0.36458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19175" y="8572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a</a:t>
          </a:r>
        </a:p>
      </cdr:txBody>
    </cdr:sp>
  </cdr:relSizeAnchor>
  <cdr:relSizeAnchor xmlns:cdr="http://schemas.openxmlformats.org/drawingml/2006/chartDrawing">
    <cdr:from>
      <cdr:x>0.58958</cdr:x>
      <cdr:y>0.32986</cdr:y>
    </cdr:from>
    <cdr:to>
      <cdr:x>0.78958</cdr:x>
      <cdr:y>0.66319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695575" y="9048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b</a:t>
          </a:r>
        </a:p>
      </cdr:txBody>
    </cdr:sp>
  </cdr:relSizeAnchor>
  <cdr:relSizeAnchor xmlns:cdr="http://schemas.openxmlformats.org/drawingml/2006/chartDrawing">
    <cdr:from>
      <cdr:x>0.33125</cdr:x>
      <cdr:y>0.53125</cdr:y>
    </cdr:from>
    <cdr:to>
      <cdr:x>0.53125</cdr:x>
      <cdr:y>0.86458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514475" y="145732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c</a:t>
          </a:r>
        </a:p>
      </cdr:txBody>
    </cdr:sp>
  </cdr:relSizeAnchor>
  <cdr:relSizeAnchor xmlns:cdr="http://schemas.openxmlformats.org/drawingml/2006/chartDrawing">
    <cdr:from>
      <cdr:x>0.67917</cdr:x>
      <cdr:y>0.58681</cdr:y>
    </cdr:from>
    <cdr:to>
      <cdr:x>0.87917</cdr:x>
      <cdr:y>0.92014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3105150" y="160972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0.67917</cdr:x>
      <cdr:y>0.54514</cdr:y>
    </cdr:from>
    <cdr:to>
      <cdr:x>0.87917</cdr:x>
      <cdr:y>0.87847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3105150" y="149542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c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Scott</dc:creator>
  <cp:lastModifiedBy>Johnson, Scott</cp:lastModifiedBy>
  <cp:revision>8</cp:revision>
  <dcterms:created xsi:type="dcterms:W3CDTF">2012-11-26T19:01:00Z</dcterms:created>
  <dcterms:modified xsi:type="dcterms:W3CDTF">2012-11-27T21:27:00Z</dcterms:modified>
</cp:coreProperties>
</file>